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customUI/customUI.xml" Type="http://schemas.microsoft.com/office/2006/relationships/ui/extensibility" Id="cuID"/><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70492" w:rsidP="00E67D40" w:rsidRDefault="00170492" w14:paraId="3ebbbe0" w14:textId="3ebbbe0">
      <w:pPr>
        <w:pStyle w:val="SudNaziv"/>
        <w15:collapsed w:val="false"/>
        <w:rPr>
          <w:rStyle w:val="PozadinaSvijetloZelena"/>
          <w:b w:val="false"/>
        </w:rPr>
      </w:pPr>
      <w:bookmarkStart w:name="_GoBack" w:id="0"/>
      <w:bookmarkEnd w:id="0"/>
      <w:r w:rsidRPr="00AD32DA">
        <w:rPr>
          <w:b w:val="false"/>
          <w:lang w:eastAsia="hr-HR"/>
        </w:rPr>
        <w:drawing>
          <wp:anchor distT="0" distB="0" distL="114300" distR="114300" simplePos="false" relativeHeight="251658240" behindDoc="false" locked="false" layoutInCell="true" allowOverlap="true">
            <wp:simplePos x="0" y="0"/>
            <wp:positionH relativeFrom="page">
              <wp:posOffset>1929753</wp:posOffset>
            </wp:positionH>
            <wp:positionV relativeFrom="page">
              <wp:posOffset>824865</wp:posOffset>
            </wp:positionV>
            <wp:extent cx="523411" cy="698960"/>
            <wp:effectExtent l="0" t="0" r="0" b="635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23411" cy="698960"/>
                    </a:xfrm>
                    <a:prstGeom prst="rect">
                      <a:avLst/>
                    </a:prstGeom>
                  </pic:spPr>
                </pic:pic>
              </a:graphicData>
            </a:graphic>
          </wp:anchor>
        </w:drawing>
      </w:r>
    </w:p>
    <w:p w:rsidR="004C60ED" w:rsidP="00E67D40" w:rsidRDefault="004C60ED">
      <w:pPr>
        <w:pStyle w:val="SudNaziv"/>
        <w:rPr>
          <w:rStyle w:val="PozadinaSvijetloZelena"/>
          <w:b w:val="false"/>
        </w:rPr>
      </w:pPr>
    </w:p>
    <w:p w:rsidR="004C60ED" w:rsidP="00E67D40" w:rsidRDefault="004C60ED">
      <w:pPr>
        <w:pStyle w:val="SudNaziv"/>
        <w:rPr>
          <w:rStyle w:val="PozadinaSvijetloZelena"/>
          <w:b w:val="false"/>
        </w:rPr>
      </w:pPr>
    </w:p>
    <w:p w:rsidRPr="00AD32DA" w:rsidR="004C60ED" w:rsidP="00E67D40" w:rsidRDefault="004C60ED">
      <w:pPr>
        <w:pStyle w:val="SudNaziv"/>
        <w:rPr>
          <w:rStyle w:val="PozadinaSvijetloZelena"/>
          <w:b w:val="false"/>
        </w:rPr>
      </w:pPr>
    </w:p>
    <w:p w:rsidR="00170492" w:rsidP="00AD32DA" w:rsidRDefault="00AE4AC9">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Pr="00AE4AC9" w:rsidR="00170492">
            <w:rPr>
              <w:rStyle w:val="eSPISCCParagraphDefaultFont"/>
              <w:rFonts w:eastAsiaTheme="minorHAnsi"/>
            </w:rPr>
            <w:t>REPUBLIKA HRVATSKA</w:t>
          </w:r>
        </w:sdtContent>
      </w:sdt>
    </w:p>
    <w:p w:rsidRPr="00AD32DA" w:rsidR="00AE649C" w:rsidP="00E67D40" w:rsidRDefault="00AE4AC9">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AE4AC9" w:rsidR="00B623DB">
            <w:rPr>
              <w:rStyle w:val="eSPISCCParagraphDefaultFont"/>
              <w:rFonts w:eastAsiaTheme="minorHAnsi"/>
            </w:rPr>
            <w:t>Visoki trgovački sud Republike Hrvatske</w:t>
          </w:r>
        </w:sdtContent>
      </w:sdt>
    </w:p>
    <w:p w:rsidR="00170492" w:rsidP="005E2148" w:rsidRDefault="00AE4AC9">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E4AC9" w:rsidR="00B623DB">
            <w:rPr>
              <w:rStyle w:val="eSPISCCParagraphDefaultFont"/>
            </w:rPr>
            <w:t>Berislavićeva 11</w:t>
          </w:r>
        </w:sdtContent>
      </w:sdt>
      <w:r w:rsidRPr="005E2148" w:rsidR="0022360E">
        <w:rPr>
          <w:rStyle w:val="PozadinaSvijetloZelena"/>
          <w:shd w:val="clear" w:color="auto" w:fill="FFFFFF" w:themeFill="background1"/>
        </w:rPr>
        <w:t>,</w:t>
      </w:r>
      <w:r w:rsidRPr="006C43C5" w:rsidR="00170492">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E4AC9" w:rsidR="00B623DB">
            <w:rPr>
              <w:rStyle w:val="eSPISCCParagraphDefaultFont"/>
            </w:rPr>
            <w:t>Zagreb</w:t>
          </w:r>
        </w:sdtContent>
      </w:sdt>
    </w:p>
    <w:p w:rsidR="0020453E" w:rsidP="004C60ED" w:rsidRDefault="00AD32DA">
      <w:pPr>
        <w:pStyle w:val="HeadereSPIS"/>
        <w:rPr>
          <w:rFonts w:cs="Times New Roman"/>
          <w:noProof/>
        </w:rPr>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AE4AC9" w:rsidR="00B623DB">
            <w:rPr>
              <w:rStyle w:val="eSPISCCParagraphDefaultFont"/>
            </w:rPr>
            <w:t>73</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AE4AC9" w:rsidR="00B623DB">
            <w:rPr>
              <w:rStyle w:val="eSPISCCParagraphDefaultFont"/>
            </w:rPr>
            <w:t>Pž-5320/2019-2</w:t>
          </w:r>
        </w:sdtContent>
      </w:sdt>
    </w:p>
    <w:p w:rsidR="00B623DB" w:rsidP="00B623DB" w:rsidRDefault="00706FF0">
      <w:pPr>
        <w:spacing w:after="0"/>
      </w:pPr>
      <w:r>
        <w:t xml:space="preserve"> </w:t>
      </w:r>
    </w:p>
    <w:p w:rsidR="00B623DB" w:rsidP="00B623DB" w:rsidRDefault="00B623DB">
      <w:pPr>
        <w:spacing w:after="0"/>
        <w:jc w:val="center"/>
        <w:rPr>
          <w:rFonts w:eastAsia="Calibri" w:cs="Times New Roman"/>
        </w:rPr>
      </w:pPr>
    </w:p>
    <w:p w:rsidRPr="00B623DB" w:rsidR="00B623DB" w:rsidP="00B623DB" w:rsidRDefault="00B623DB">
      <w:pPr>
        <w:spacing w:after="0"/>
        <w:jc w:val="center"/>
        <w:rPr>
          <w:rFonts w:eastAsia="Calibri" w:cs="Times New Roman"/>
        </w:rPr>
      </w:pPr>
      <w:r w:rsidRPr="00B623DB">
        <w:rPr>
          <w:rFonts w:eastAsia="Calibri" w:cs="Times New Roman"/>
        </w:rPr>
        <w:t>R E P U B L I K A   H R V A T S K A</w:t>
      </w:r>
    </w:p>
    <w:p w:rsidRPr="00B623DB" w:rsidR="00B623DB" w:rsidP="00B623DB" w:rsidRDefault="00B623DB">
      <w:pPr>
        <w:spacing w:after="0"/>
        <w:jc w:val="center"/>
        <w:rPr>
          <w:rFonts w:eastAsia="Calibri" w:cs="Times New Roman"/>
        </w:rPr>
      </w:pPr>
    </w:p>
    <w:p w:rsidRPr="00B623DB" w:rsidR="00B623DB" w:rsidP="00B623DB" w:rsidRDefault="00B623DB">
      <w:pPr>
        <w:spacing w:after="0"/>
        <w:jc w:val="center"/>
        <w:rPr>
          <w:rFonts w:eastAsia="Calibri" w:cs="Times New Roman"/>
        </w:rPr>
      </w:pPr>
      <w:r w:rsidRPr="00B623DB">
        <w:rPr>
          <w:rFonts w:eastAsia="Calibri" w:cs="Times New Roman"/>
        </w:rPr>
        <w:t>R J E Š E NJ E</w:t>
      </w:r>
    </w:p>
    <w:p w:rsidRPr="00B623DB" w:rsidR="00B623DB" w:rsidP="00B623DB" w:rsidRDefault="00B623DB">
      <w:pPr>
        <w:spacing w:after="0"/>
        <w:jc w:val="center"/>
        <w:rPr>
          <w:rFonts w:eastAsia="Calibri" w:cs="Times New Roman"/>
        </w:rPr>
      </w:pPr>
    </w:p>
    <w:p w:rsidRPr="00B623DB" w:rsidR="00B623DB" w:rsidP="00B623DB" w:rsidRDefault="00B623DB">
      <w:pPr>
        <w:spacing w:after="0"/>
        <w:jc w:val="both"/>
        <w:rPr>
          <w:rFonts w:eastAsia="Calibri" w:cs="Times New Roman"/>
        </w:rPr>
      </w:pPr>
    </w:p>
    <w:p w:rsidRPr="00B623DB" w:rsidR="00B623DB" w:rsidP="00B623DB" w:rsidRDefault="00B623DB">
      <w:pPr>
        <w:spacing w:after="0"/>
        <w:jc w:val="both"/>
        <w:rPr>
          <w:rFonts w:eastAsia="Calibri" w:cs="Times New Roman"/>
        </w:rPr>
      </w:pPr>
      <w:r w:rsidRPr="00B623DB">
        <w:rPr>
          <w:rFonts w:eastAsia="Calibri" w:cs="Times New Roman"/>
        </w:rPr>
        <w:tab/>
        <w:t>Visoki trgovački sud Republike Hrvatske, u vijeću sastavljenom od sudaca Kamelije Parać, predsjednice vijeća, Gorane Aralic</w:t>
      </w:r>
      <w:r>
        <w:rPr>
          <w:rFonts w:eastAsia="Calibri" w:cs="Times New Roman"/>
        </w:rPr>
        <w:t>e</w:t>
      </w:r>
      <w:r w:rsidRPr="00B623DB">
        <w:rPr>
          <w:rFonts w:eastAsia="Calibri" w:cs="Times New Roman"/>
        </w:rPr>
        <w:t xml:space="preserve"> Martinović, sutkinje izvjestiteljice i Maje Bilandžić, član</w:t>
      </w:r>
      <w:r w:rsidR="00706FF0">
        <w:rPr>
          <w:rFonts w:eastAsia="Calibri" w:cs="Times New Roman"/>
        </w:rPr>
        <w:t>ice</w:t>
      </w:r>
      <w:r w:rsidRPr="00B623DB">
        <w:rPr>
          <w:rFonts w:eastAsia="Calibri" w:cs="Times New Roman"/>
        </w:rPr>
        <w:t xml:space="preserve"> vijeća, u stečajnom postupku nad stečajnim dužnikom OPEKA d.d. Osijek, Vukovarska 215, OIB 61547182596, MBS 030005203, kojeg zastupa stečajna upraviteljica Blanka Gambiraža iz Osijeka, Bakarska 42, odlučujući o žalbi stečajnog vjerovnika HYPO GROUP d.o.o. OIB 04938014535, Rijeka, Užarska 28, kojeg zastupa punomoćnik Alen Ivković, odvjetnik u Rijeci, i žalbi stečajnog vjerovnika SREDIŠNJE KLIRINŠKO DEPOZITARNO DRUŠTVO d.d. Zagreb, Heinzelova 62a, OIB 64406809162, protiv rješenja Trgovačkog suda u Osijeku poslovni broj St-1069/2018-50 od 22. svibnja 2019., u sjednici vijeća održanoj 18. rujna 2019. </w:t>
      </w:r>
    </w:p>
    <w:p w:rsidRPr="00B623DB" w:rsidR="00B623DB" w:rsidP="00B623DB" w:rsidRDefault="00B623DB">
      <w:pPr>
        <w:spacing w:after="0"/>
        <w:jc w:val="both"/>
        <w:rPr>
          <w:rFonts w:eastAsia="Calibri" w:cs="Times New Roman"/>
        </w:rPr>
      </w:pPr>
    </w:p>
    <w:p w:rsidRPr="00B623DB" w:rsidR="00B623DB" w:rsidP="00B623DB" w:rsidRDefault="00B623DB">
      <w:pPr>
        <w:spacing w:after="0"/>
        <w:jc w:val="center"/>
        <w:rPr>
          <w:rFonts w:eastAsia="Calibri" w:cs="Times New Roman"/>
        </w:rPr>
      </w:pPr>
      <w:r w:rsidRPr="00B623DB">
        <w:rPr>
          <w:rFonts w:eastAsia="Calibri" w:cs="Times New Roman"/>
        </w:rPr>
        <w:t>r i j e š i o   j e</w:t>
      </w:r>
    </w:p>
    <w:p w:rsidRPr="00B623DB" w:rsidR="00B623DB" w:rsidP="00B623DB" w:rsidRDefault="00B623DB">
      <w:pPr>
        <w:spacing w:after="0"/>
        <w:jc w:val="both"/>
        <w:rPr>
          <w:rFonts w:eastAsia="Calibri" w:cs="Times New Roman"/>
        </w:rPr>
      </w:pPr>
    </w:p>
    <w:p w:rsidRPr="000E0083" w:rsidR="00B623DB" w:rsidP="000E0083" w:rsidRDefault="000E0083">
      <w:pPr>
        <w:spacing w:after="0"/>
        <w:jc w:val="both"/>
        <w:rPr>
          <w:rFonts w:eastAsia="Calibri" w:cs="Times New Roman"/>
        </w:rPr>
      </w:pPr>
      <w:r w:rsidRPr="000E0083">
        <w:rPr>
          <w:rFonts w:eastAsia="Calibri" w:cs="Times New Roman"/>
        </w:rPr>
        <w:tab/>
        <w:t>I</w:t>
      </w:r>
      <w:r>
        <w:rPr>
          <w:rFonts w:eastAsia="Calibri" w:cs="Times New Roman"/>
        </w:rPr>
        <w:t xml:space="preserve">. </w:t>
      </w:r>
      <w:r w:rsidRPr="000E0083" w:rsidR="00B623DB">
        <w:rPr>
          <w:rFonts w:eastAsia="Calibri" w:cs="Times New Roman"/>
        </w:rPr>
        <w:t>Odbija</w:t>
      </w:r>
      <w:r w:rsidRPr="000E0083" w:rsidR="00706FF0">
        <w:rPr>
          <w:rFonts w:eastAsia="Calibri" w:cs="Times New Roman"/>
        </w:rPr>
        <w:t>ju</w:t>
      </w:r>
      <w:r w:rsidRPr="000E0083" w:rsidR="00B623DB">
        <w:rPr>
          <w:rFonts w:eastAsia="Calibri" w:cs="Times New Roman"/>
        </w:rPr>
        <w:t xml:space="preserve"> se žalb</w:t>
      </w:r>
      <w:r w:rsidRPr="000E0083" w:rsidR="00706FF0">
        <w:rPr>
          <w:rFonts w:eastAsia="Calibri" w:cs="Times New Roman"/>
        </w:rPr>
        <w:t>e</w:t>
      </w:r>
      <w:r w:rsidRPr="000E0083" w:rsidR="00B623DB">
        <w:rPr>
          <w:rFonts w:eastAsia="Calibri" w:cs="Times New Roman"/>
        </w:rPr>
        <w:t xml:space="preserve"> stečajnog vjerovnika Hypo group d.o.o. Rijeka</w:t>
      </w:r>
      <w:r w:rsidRPr="000E0083" w:rsidR="00706FF0">
        <w:rPr>
          <w:rFonts w:eastAsia="Calibri" w:cs="Times New Roman"/>
        </w:rPr>
        <w:t xml:space="preserve"> i stečajnog vjerovnika Središnje klirinško depozitarno društvo d.d. Zagreb, </w:t>
      </w:r>
      <w:r w:rsidRPr="000E0083" w:rsidR="00B623DB">
        <w:rPr>
          <w:rFonts w:eastAsia="Calibri" w:cs="Times New Roman"/>
        </w:rPr>
        <w:t>kao neosnovan</w:t>
      </w:r>
      <w:r w:rsidRPr="000E0083" w:rsidR="00706FF0">
        <w:rPr>
          <w:rFonts w:eastAsia="Calibri" w:cs="Times New Roman"/>
        </w:rPr>
        <w:t>e</w:t>
      </w:r>
      <w:r w:rsidRPr="000E0083" w:rsidR="00B623DB">
        <w:rPr>
          <w:rFonts w:eastAsia="Calibri" w:cs="Times New Roman"/>
        </w:rPr>
        <w:t xml:space="preserve"> i potvrđuje rješenje Trgovačkog suda u Osijeku poslovni broj St-1069/2018-50 od 22. svibnja 2019. u točkama II.3., III.2. i III.3. izreke. </w:t>
      </w:r>
    </w:p>
    <w:p w:rsidRPr="00B623DB" w:rsidR="00B623DB" w:rsidP="00B623DB" w:rsidRDefault="00B623DB">
      <w:pPr>
        <w:spacing w:after="0"/>
        <w:jc w:val="both"/>
        <w:rPr>
          <w:rFonts w:eastAsia="Calibri" w:cs="Times New Roman"/>
        </w:rPr>
      </w:pPr>
    </w:p>
    <w:p w:rsidRPr="00B623DB" w:rsidR="00B623DB" w:rsidP="00B623DB" w:rsidRDefault="00B623DB">
      <w:pPr>
        <w:spacing w:after="0"/>
        <w:jc w:val="both"/>
        <w:rPr>
          <w:rFonts w:eastAsia="Calibri" w:cs="Times New Roman"/>
        </w:rPr>
      </w:pPr>
      <w:r w:rsidRPr="00B623DB">
        <w:rPr>
          <w:rFonts w:eastAsia="Calibri" w:cs="Times New Roman"/>
        </w:rPr>
        <w:tab/>
      </w:r>
      <w:r w:rsidR="000E0083">
        <w:rPr>
          <w:rFonts w:eastAsia="Calibri" w:cs="Times New Roman"/>
        </w:rPr>
        <w:t xml:space="preserve">II. </w:t>
      </w:r>
      <w:r w:rsidRPr="00B623DB">
        <w:rPr>
          <w:rFonts w:eastAsia="Calibri" w:cs="Times New Roman"/>
        </w:rPr>
        <w:t>Odbija se žalba stečajnog vjerovnika Središnje klirinško depozitarno društvo d.d. Zagreb, Heinzelova 62a, kao neosnovana i potvrđuje rješenje Trgovačkog suda u Osijeku poslovni broj St-1069/2018-50 od 22. svibnja 2019. u točkama I.2</w:t>
      </w:r>
      <w:r w:rsidR="000E0083">
        <w:rPr>
          <w:rFonts w:eastAsia="Calibri" w:cs="Times New Roman"/>
        </w:rPr>
        <w:t>, red</w:t>
      </w:r>
      <w:r w:rsidR="00706FF0">
        <w:rPr>
          <w:rFonts w:eastAsia="Calibri" w:cs="Times New Roman"/>
        </w:rPr>
        <w:t>ni broj 37. i</w:t>
      </w:r>
      <w:r w:rsidRPr="00B623DB">
        <w:rPr>
          <w:rFonts w:eastAsia="Calibri" w:cs="Times New Roman"/>
        </w:rPr>
        <w:t xml:space="preserve"> III.1.</w:t>
      </w:r>
      <w:r w:rsidR="00706FF0">
        <w:rPr>
          <w:rFonts w:eastAsia="Calibri" w:cs="Times New Roman"/>
        </w:rPr>
        <w:t>,</w:t>
      </w:r>
      <w:r w:rsidRPr="00B623DB">
        <w:rPr>
          <w:rFonts w:eastAsia="Calibri" w:cs="Times New Roman"/>
        </w:rPr>
        <w:t xml:space="preserve"> </w:t>
      </w:r>
      <w:r w:rsidR="00706FF0">
        <w:rPr>
          <w:rFonts w:eastAsia="Calibri" w:cs="Times New Roman"/>
        </w:rPr>
        <w:t>redni broj 8.</w:t>
      </w:r>
      <w:r w:rsidRPr="00B623DB">
        <w:rPr>
          <w:rFonts w:eastAsia="Calibri" w:cs="Times New Roman"/>
        </w:rPr>
        <w:t xml:space="preserve"> izreke.</w:t>
      </w:r>
    </w:p>
    <w:p w:rsidRPr="00B623DB" w:rsidR="00B623DB" w:rsidP="00B623DB" w:rsidRDefault="00B623DB">
      <w:pPr>
        <w:spacing w:after="0"/>
        <w:jc w:val="both"/>
        <w:rPr>
          <w:rFonts w:eastAsia="Calibri" w:cs="Times New Roman"/>
        </w:rPr>
      </w:pPr>
    </w:p>
    <w:p w:rsidRPr="00B623DB" w:rsidR="00B623DB" w:rsidP="00B623DB" w:rsidRDefault="00B623DB">
      <w:pPr>
        <w:spacing w:after="0"/>
        <w:jc w:val="center"/>
        <w:rPr>
          <w:rFonts w:eastAsia="Calibri" w:cs="Times New Roman"/>
        </w:rPr>
      </w:pPr>
      <w:r w:rsidRPr="00B623DB">
        <w:rPr>
          <w:rFonts w:eastAsia="Calibri" w:cs="Times New Roman"/>
        </w:rPr>
        <w:t>Obrazloženje</w:t>
      </w:r>
    </w:p>
    <w:p w:rsidRPr="00B623DB" w:rsidR="00B623DB" w:rsidP="00B623DB" w:rsidRDefault="00B623DB">
      <w:pPr>
        <w:spacing w:after="0"/>
        <w:jc w:val="both"/>
        <w:rPr>
          <w:rFonts w:eastAsia="Calibri" w:cs="Times New Roman"/>
        </w:rPr>
      </w:pPr>
    </w:p>
    <w:p w:rsidRPr="00B623DB" w:rsidR="00B623DB" w:rsidP="00B623DB" w:rsidRDefault="00B623DB">
      <w:pPr>
        <w:spacing w:after="0"/>
        <w:jc w:val="both"/>
        <w:rPr>
          <w:rFonts w:eastAsia="Calibri" w:cs="Times New Roman"/>
        </w:rPr>
      </w:pPr>
      <w:r w:rsidRPr="00B623DB">
        <w:rPr>
          <w:rFonts w:eastAsia="Calibri" w:cs="Times New Roman"/>
        </w:rPr>
        <w:tab/>
        <w:t xml:space="preserve">Pobijanim rješenjem Trgovačkog suda u Osijeku poslovni broj St-1069/2018-50 od 22. svibnja 2019. utvrđene su tražbine viših isplatnih redova a sve kako je navedeno u izreci rješenja (točka I. izreke), s tim da je točkom I.2. podbroj 37. za stečajnog vjerovnika Središnje klirinško depozitarno društvo d.d., Zagreb, utvrđen iznos od prijavljene tražbine od 42.485,02 kn, od čega je priznata tražbina u iznosu od 16.896,00 kn te osporena tražbina od strane stečajnog vjerovnika u iznosu od 25.589,02 kn; osporene su tražbine, a sve kako je opisano u izreci (točke II. i III. izreke); utvrđeno je da je stečajni vjerovnik Hypo group d.o.o., Rijeka, osporio navedene tražbine II. višeg isplatnog reda te, između ostalog, i tražbinu stečajnog vjerovnika Središnje klirinško depozitarno društvo d.d., Zagreb, u iznosu od 25.589,02 kn;. upućen je stečajni vjerovnik Hypo group d.o.o., u roku od osam dana od dana pravomoćnosti rješenja odnosno primitka drugostupanjske odluke, na pokretanje parnice radi dokazivanja </w:t>
      </w:r>
      <w:r w:rsidRPr="00B623DB">
        <w:rPr>
          <w:rFonts w:eastAsia="Calibri" w:cs="Times New Roman"/>
        </w:rPr>
        <w:lastRenderedPageBreak/>
        <w:t xml:space="preserve">osnovanosti osporavanja tražbine stečajnih vjerovnika II. višeg isplatnog reda i to: - </w:t>
      </w:r>
      <w:r w:rsidR="00706FF0">
        <w:rPr>
          <w:rFonts w:eastAsia="Calibri" w:cs="Times New Roman"/>
        </w:rPr>
        <w:t>S</w:t>
      </w:r>
      <w:r w:rsidRPr="00B623DB" w:rsidR="00706FF0">
        <w:rPr>
          <w:rFonts w:eastAsia="Calibri" w:cs="Times New Roman"/>
        </w:rPr>
        <w:t xml:space="preserve">aldo-revizor </w:t>
      </w:r>
      <w:r w:rsidRPr="00B623DB">
        <w:rPr>
          <w:rFonts w:eastAsia="Calibri" w:cs="Times New Roman"/>
        </w:rPr>
        <w:t xml:space="preserve">d.o.o. Osijek, S. Radića 5, OIB 10084274066, za osporenu tražbinu u iznosu od 189.065,00 kn; - SKDD d.d. Zagreb, Heinzelova 62a, OIB 64406809162, za osporenu tražbinu u iznosu od 25.589,02 kn; - </w:t>
      </w:r>
      <w:r w:rsidR="00706FF0">
        <w:rPr>
          <w:rFonts w:eastAsia="Calibri" w:cs="Times New Roman"/>
        </w:rPr>
        <w:t>Vrijednosnice O</w:t>
      </w:r>
      <w:r w:rsidRPr="00B623DB" w:rsidR="00706FF0">
        <w:rPr>
          <w:rFonts w:eastAsia="Calibri" w:cs="Times New Roman"/>
        </w:rPr>
        <w:t xml:space="preserve">sijek </w:t>
      </w:r>
      <w:r w:rsidRPr="00B623DB">
        <w:rPr>
          <w:rFonts w:eastAsia="Calibri" w:cs="Times New Roman"/>
        </w:rPr>
        <w:t>d.o.o. Osijek, Kapucinska 25/II, OIB 95388963061, za osporenu tražbinu u iznosu od 871.047,43 kn; - E</w:t>
      </w:r>
      <w:r w:rsidRPr="00B623DB" w:rsidR="00706FF0">
        <w:rPr>
          <w:rFonts w:eastAsia="Calibri" w:cs="Times New Roman"/>
        </w:rPr>
        <w:t>urokamen</w:t>
      </w:r>
      <w:r w:rsidRPr="00B623DB">
        <w:rPr>
          <w:rFonts w:eastAsia="Calibri" w:cs="Times New Roman"/>
        </w:rPr>
        <w:t xml:space="preserve"> d.o.o., Sv. Petka 40a, OIB 05466936326, za osporenu tražb</w:t>
      </w:r>
      <w:r w:rsidR="00706FF0">
        <w:rPr>
          <w:rFonts w:eastAsia="Calibri" w:cs="Times New Roman"/>
        </w:rPr>
        <w:t>inu u iznosu od 6.633.718,64 kn</w:t>
      </w:r>
      <w:r w:rsidRPr="00B623DB">
        <w:rPr>
          <w:rFonts w:eastAsia="Calibri" w:cs="Times New Roman"/>
        </w:rPr>
        <w:t xml:space="preserve"> (točka III.2. izreke); upućen je stečajni vjerovnik </w:t>
      </w:r>
      <w:r w:rsidR="00706FF0">
        <w:rPr>
          <w:rFonts w:eastAsia="Calibri" w:cs="Times New Roman"/>
        </w:rPr>
        <w:t>H</w:t>
      </w:r>
      <w:r w:rsidRPr="00B623DB" w:rsidR="00706FF0">
        <w:rPr>
          <w:rFonts w:eastAsia="Calibri" w:cs="Times New Roman"/>
        </w:rPr>
        <w:t xml:space="preserve">ypo group </w:t>
      </w:r>
      <w:r w:rsidRPr="00B623DB">
        <w:rPr>
          <w:rFonts w:eastAsia="Calibri" w:cs="Times New Roman"/>
        </w:rPr>
        <w:t xml:space="preserve">d.o.o. Rijeka, Užarska 28, u roku od osam dana od dana pravomoćnosti rješenja, odnosno primitka drugostupanjske odluke, na pokretanje parnice radi dokazivanja osnovanosti osporavanja tražbina stečajnih vjerovnika II. višeg isplatnog reda i to: - Republika Hrvatska, Ministarstvo financija, Carinska uprava, Središnji ured, OIB 18683136487, za osporenu tražbinu u iznosu od 69.229,41 kn; - </w:t>
      </w:r>
      <w:r w:rsidR="00706FF0">
        <w:rPr>
          <w:rFonts w:eastAsia="Calibri" w:cs="Times New Roman"/>
        </w:rPr>
        <w:t>H</w:t>
      </w:r>
      <w:r w:rsidRPr="00B623DB" w:rsidR="00706FF0">
        <w:rPr>
          <w:rFonts w:eastAsia="Calibri" w:cs="Times New Roman"/>
        </w:rPr>
        <w:t>rvatske vode</w:t>
      </w:r>
      <w:r w:rsidRPr="00B623DB">
        <w:rPr>
          <w:rFonts w:eastAsia="Calibri" w:cs="Times New Roman"/>
        </w:rPr>
        <w:t xml:space="preserve">, Zagreb, Ul. grada Vukovara 220, OIB 28921383001, za osporenu tražbinu u iznosu od 217.375,40 kn; - </w:t>
      </w:r>
      <w:r w:rsidR="00706FF0">
        <w:rPr>
          <w:rFonts w:eastAsia="Calibri" w:cs="Times New Roman"/>
        </w:rPr>
        <w:t>Grad O</w:t>
      </w:r>
      <w:r w:rsidRPr="00B623DB" w:rsidR="00706FF0">
        <w:rPr>
          <w:rFonts w:eastAsia="Calibri" w:cs="Times New Roman"/>
        </w:rPr>
        <w:t>sijek</w:t>
      </w:r>
      <w:r w:rsidRPr="00B623DB">
        <w:rPr>
          <w:rFonts w:eastAsia="Calibri" w:cs="Times New Roman"/>
        </w:rPr>
        <w:t xml:space="preserve">, Osijek, Franje Kuhača 9, OIB 30050049642, za osporenu tražbinu u iznosu od 553.108,61 kn; - Republika Hrvatska, Ministarstvo financija, Porezna uprava, Područni ured Osijek, Osijek Županijska 4, OIB 18683136487, za osporenu tražbinu u iznosu od 5.053.536,98 kn. - OTP banka Hrvatska d.d. Split, Domovinskog rata 61, OIB 52508873833, za osporenu tražbinu u iznosu od 3.608.966,95 kn; - HEP </w:t>
      </w:r>
      <w:r w:rsidRPr="00B623DB" w:rsidR="00706FF0">
        <w:rPr>
          <w:rFonts w:eastAsia="Calibri" w:cs="Times New Roman"/>
        </w:rPr>
        <w:t>elektra</w:t>
      </w:r>
      <w:r w:rsidRPr="00B623DB">
        <w:rPr>
          <w:rFonts w:eastAsia="Calibri" w:cs="Times New Roman"/>
        </w:rPr>
        <w:t xml:space="preserve"> d.o.o. Zagreb, Ul. grada Vukovara 37, OIB 43965974818, za osporenu tražbinu u iznosu od 2.520.390,75 kn; - B2 </w:t>
      </w:r>
      <w:r w:rsidRPr="00B623DB" w:rsidR="00706FF0">
        <w:rPr>
          <w:rFonts w:eastAsia="Calibri" w:cs="Times New Roman"/>
        </w:rPr>
        <w:t>kapital</w:t>
      </w:r>
      <w:r w:rsidRPr="00B623DB">
        <w:rPr>
          <w:rFonts w:eastAsia="Calibri" w:cs="Times New Roman"/>
        </w:rPr>
        <w:t xml:space="preserve"> d.o.o. Zagreb, Radnička cesta 41, OIB 57509775367, za osporene tražbine u iznosu od 28.838.081,38 kn i u iznosu od 15.929,17 kn; - </w:t>
      </w:r>
      <w:r w:rsidR="00706FF0">
        <w:rPr>
          <w:rFonts w:eastAsia="Calibri" w:cs="Times New Roman"/>
        </w:rPr>
        <w:t>Interšped V</w:t>
      </w:r>
      <w:r w:rsidRPr="00B623DB" w:rsidR="00706FF0">
        <w:rPr>
          <w:rFonts w:eastAsia="Calibri" w:cs="Times New Roman"/>
        </w:rPr>
        <w:t xml:space="preserve">ukovar </w:t>
      </w:r>
      <w:r w:rsidRPr="00B623DB">
        <w:rPr>
          <w:rFonts w:eastAsia="Calibri" w:cs="Times New Roman"/>
        </w:rPr>
        <w:t>d.o.o. Vukovar, Dunavski prilaz 3, OIB 73963787463, za osporenu tražbinu u iznosu od 113.124,90 kn; H-</w:t>
      </w:r>
      <w:r w:rsidRPr="00B623DB" w:rsidR="00706FF0">
        <w:rPr>
          <w:rFonts w:eastAsia="Calibri" w:cs="Times New Roman"/>
        </w:rPr>
        <w:t xml:space="preserve">abduco </w:t>
      </w:r>
      <w:r w:rsidRPr="00B623DB">
        <w:rPr>
          <w:rFonts w:eastAsia="Calibri" w:cs="Times New Roman"/>
        </w:rPr>
        <w:t>d.o.o. Zagreb, Slavonska av</w:t>
      </w:r>
      <w:r w:rsidR="00DA040D">
        <w:rPr>
          <w:rFonts w:eastAsia="Calibri" w:cs="Times New Roman"/>
        </w:rPr>
        <w:t>enija 6a, OIB</w:t>
      </w:r>
      <w:r w:rsidRPr="00B623DB">
        <w:rPr>
          <w:rFonts w:eastAsia="Calibri" w:cs="Times New Roman"/>
        </w:rPr>
        <w:t xml:space="preserve"> 13667298928, za osporenu tražbinu u iznosu od 41.488.565,09 kn; - E</w:t>
      </w:r>
      <w:r w:rsidRPr="00B623DB" w:rsidR="00DA040D">
        <w:rPr>
          <w:rFonts w:eastAsia="Calibri" w:cs="Times New Roman"/>
        </w:rPr>
        <w:t>urokamen</w:t>
      </w:r>
      <w:r w:rsidRPr="00B623DB">
        <w:rPr>
          <w:rFonts w:eastAsia="Calibri" w:cs="Times New Roman"/>
        </w:rPr>
        <w:t xml:space="preserve"> d.o</w:t>
      </w:r>
      <w:r w:rsidR="00DA040D">
        <w:rPr>
          <w:rFonts w:eastAsia="Calibri" w:cs="Times New Roman"/>
        </w:rPr>
        <w:t>.</w:t>
      </w:r>
      <w:r w:rsidRPr="00B623DB">
        <w:rPr>
          <w:rFonts w:eastAsia="Calibri" w:cs="Times New Roman"/>
        </w:rPr>
        <w:t xml:space="preserve">o., Sv. Petka 40a, OIB 05466936326, za osporenu tražbinu u iznosu od 921.746,59 kn. </w:t>
      </w:r>
      <w:r w:rsidR="00DA040D">
        <w:rPr>
          <w:rFonts w:eastAsia="Calibri" w:cs="Times New Roman"/>
        </w:rPr>
        <w:t>O</w:t>
      </w:r>
      <w:r w:rsidRPr="00B623DB">
        <w:rPr>
          <w:rFonts w:eastAsia="Calibri" w:cs="Times New Roman"/>
        </w:rPr>
        <w:t>dređeno je da ako osoba koja je upućena na parnicu ne pokrene parnicu u roku od osam dana od dana pravomoćnosti rješenja o upućivanju u parnicu, odnosno primitka drugostupanjske odluke, smatrat će se da je odustala od prava na vođenje parnice</w:t>
      </w:r>
      <w:r w:rsidR="00DA040D">
        <w:rPr>
          <w:rFonts w:eastAsia="Calibri" w:cs="Times New Roman"/>
        </w:rPr>
        <w:t>.</w:t>
      </w:r>
      <w:r w:rsidRPr="00B623DB">
        <w:rPr>
          <w:rFonts w:eastAsia="Calibri" w:cs="Times New Roman"/>
        </w:rPr>
        <w:t xml:space="preserve"> Ako osporavatelj tražbine za koju postoji ovršna isprava ne pokrene parnicu u roku od osam dana od dana pravomoćnosti rješenja o upućivanju u parnicu, odnosno primitka drugostupanjske odluke, smatrat će se da je osporavanje otklonjeno (točka III.3. izreke).</w:t>
      </w:r>
    </w:p>
    <w:p w:rsidRPr="00B623DB" w:rsidR="00B623DB" w:rsidP="00B623DB" w:rsidRDefault="00B623DB">
      <w:pPr>
        <w:spacing w:after="0"/>
        <w:jc w:val="both"/>
        <w:rPr>
          <w:rFonts w:eastAsia="Calibri" w:cs="Times New Roman"/>
        </w:rPr>
      </w:pPr>
    </w:p>
    <w:p w:rsidR="00B623DB" w:rsidP="00B623DB" w:rsidRDefault="00B623DB">
      <w:pPr>
        <w:spacing w:after="0"/>
        <w:jc w:val="both"/>
        <w:rPr>
          <w:rFonts w:eastAsia="Calibri" w:cs="Times New Roman"/>
        </w:rPr>
      </w:pPr>
      <w:r w:rsidRPr="00B623DB">
        <w:rPr>
          <w:rFonts w:eastAsia="Calibri" w:cs="Times New Roman"/>
        </w:rPr>
        <w:tab/>
        <w:t xml:space="preserve">Protiv tog rješenja u točkama II.3., III.2. i III.3. izreke stečajni vjerovnik Hypo group d.o.o. Rijeka podnio je žalbu zbog bitne povrede odredaba postupka i pogrešne primjene materijalnog prava. Ukratko ističe da je izreka pobijanog rješenja nejasna i nerazumljiva te da za navedene tražbine ne postoje ovršne isprave. Predlaže drugostupanjskom sudu ukinuti rješenje u pobijanom dijelu te da u parnicu uputi vjerovnike čije su tražbine osporene, a za koje u spisu ne postoje ovršne isprave. Traži trošak sastava žalbe u iznosu od 135.000,00 kn. </w:t>
      </w:r>
    </w:p>
    <w:p w:rsidRPr="00B623DB" w:rsidR="00DA040D" w:rsidP="00B623DB" w:rsidRDefault="00DA040D">
      <w:pPr>
        <w:spacing w:after="0"/>
        <w:jc w:val="both"/>
        <w:rPr>
          <w:rFonts w:eastAsia="Calibri" w:cs="Times New Roman"/>
        </w:rPr>
      </w:pPr>
    </w:p>
    <w:p w:rsidRPr="00B623DB" w:rsidR="00B623DB" w:rsidP="00B623DB" w:rsidRDefault="00DA040D">
      <w:pPr>
        <w:spacing w:after="0"/>
        <w:jc w:val="both"/>
        <w:rPr>
          <w:rFonts w:eastAsia="Calibri" w:cs="Times New Roman"/>
        </w:rPr>
      </w:pPr>
      <w:r>
        <w:rPr>
          <w:rFonts w:eastAsia="Calibri" w:cs="Times New Roman"/>
        </w:rPr>
        <w:tab/>
      </w:r>
      <w:r w:rsidRPr="00B623DB" w:rsidR="00B623DB">
        <w:rPr>
          <w:rFonts w:eastAsia="Calibri" w:cs="Times New Roman"/>
        </w:rPr>
        <w:t>Protiv opisanog rješenja u dijelu koji se odnosi na njegovu prijavljenu i osporenu tražbinu pravovremenu žalbu je podnio stečajni vjerovnik Središnje klirinško depozitarno društvo d.d. Zagreb, pobijajući utvrđenja prvostupanjskog suda o osporenom potraživanju u iznosu od 25.589,02 kn iz svih žalbenih razloga iz odredbe članka 353. stavka 1. Zakona o parničnom postupku. U žalbi u bitnome ističe da je nejasno obrazloženje, odnosno da nisu osnovani razlozi osporavanja prijavljene tražbine koja je osporena od strane stečajnog vjerovnika Hypo group d.o.o. Predlaže pobijano rješenje preinačiti u pobijanom dijelu  odnosno ukinuti i vratiti na ponov</w:t>
      </w:r>
      <w:r>
        <w:rPr>
          <w:rFonts w:eastAsia="Calibri" w:cs="Times New Roman"/>
        </w:rPr>
        <w:t>a</w:t>
      </w:r>
      <w:r w:rsidRPr="00B623DB" w:rsidR="00B623DB">
        <w:rPr>
          <w:rFonts w:eastAsia="Calibri" w:cs="Times New Roman"/>
        </w:rPr>
        <w:t>n</w:t>
      </w:r>
      <w:r>
        <w:rPr>
          <w:rFonts w:eastAsia="Calibri" w:cs="Times New Roman"/>
        </w:rPr>
        <w:t xml:space="preserve"> </w:t>
      </w:r>
      <w:r w:rsidRPr="00B623DB" w:rsidR="00B623DB">
        <w:rPr>
          <w:rFonts w:eastAsia="Calibri" w:cs="Times New Roman"/>
        </w:rPr>
        <w:t>postupak.</w:t>
      </w:r>
    </w:p>
    <w:p w:rsidRPr="00B623DB" w:rsidR="00B623DB" w:rsidP="00B623DB" w:rsidRDefault="00B623DB">
      <w:pPr>
        <w:spacing w:after="0"/>
        <w:jc w:val="both"/>
        <w:rPr>
          <w:rFonts w:eastAsia="Calibri" w:cs="Times New Roman"/>
        </w:rPr>
      </w:pPr>
      <w:r w:rsidRPr="00B623DB">
        <w:rPr>
          <w:rFonts w:eastAsia="Calibri" w:cs="Times New Roman"/>
        </w:rPr>
        <w:tab/>
      </w:r>
    </w:p>
    <w:p w:rsidRPr="00B623DB" w:rsidR="00B623DB" w:rsidP="00B623DB" w:rsidRDefault="00B623DB">
      <w:pPr>
        <w:spacing w:after="0"/>
        <w:jc w:val="both"/>
        <w:rPr>
          <w:rFonts w:eastAsia="Calibri" w:cs="Times New Roman"/>
        </w:rPr>
      </w:pPr>
      <w:r w:rsidRPr="00B623DB">
        <w:rPr>
          <w:rFonts w:eastAsia="Calibri" w:cs="Times New Roman"/>
        </w:rPr>
        <w:tab/>
        <w:t xml:space="preserve">Stečajna upraviteljica očitovala se na žalbe predlažući ih odbiti kao neosnovane. </w:t>
      </w:r>
    </w:p>
    <w:p w:rsidRPr="00B623DB" w:rsidR="00B623DB" w:rsidP="00B623DB" w:rsidRDefault="00B623DB">
      <w:pPr>
        <w:spacing w:after="0"/>
        <w:jc w:val="both"/>
        <w:rPr>
          <w:rFonts w:eastAsia="Calibri" w:cs="Times New Roman"/>
        </w:rPr>
      </w:pPr>
    </w:p>
    <w:p w:rsidRPr="00B623DB" w:rsidR="00B623DB" w:rsidP="00B623DB" w:rsidRDefault="00B623DB">
      <w:pPr>
        <w:spacing w:after="0"/>
        <w:jc w:val="both"/>
        <w:rPr>
          <w:rFonts w:eastAsia="Calibri" w:cs="Times New Roman"/>
        </w:rPr>
      </w:pPr>
      <w:r w:rsidRPr="00B623DB">
        <w:rPr>
          <w:rFonts w:eastAsia="Calibri" w:cs="Times New Roman"/>
        </w:rPr>
        <w:tab/>
        <w:t xml:space="preserve">Žalbe </w:t>
      </w:r>
      <w:r w:rsidR="00DA040D">
        <w:rPr>
          <w:rFonts w:eastAsia="Calibri" w:cs="Times New Roman"/>
        </w:rPr>
        <w:t>su neosnovane.</w:t>
      </w:r>
      <w:r w:rsidRPr="00B623DB">
        <w:rPr>
          <w:rFonts w:eastAsia="Calibri" w:cs="Times New Roman"/>
        </w:rPr>
        <w:t xml:space="preserve"> </w:t>
      </w:r>
    </w:p>
    <w:p w:rsidRPr="00B623DB" w:rsidR="00B623DB" w:rsidP="00B623DB" w:rsidRDefault="00B623DB">
      <w:pPr>
        <w:spacing w:after="0"/>
        <w:jc w:val="both"/>
        <w:rPr>
          <w:rFonts w:eastAsia="Calibri" w:cs="Times New Roman"/>
        </w:rPr>
      </w:pPr>
    </w:p>
    <w:p w:rsidRPr="00B623DB" w:rsidR="00B623DB" w:rsidP="00B623DB" w:rsidRDefault="00B623DB">
      <w:pPr>
        <w:spacing w:after="0"/>
        <w:jc w:val="both"/>
        <w:rPr>
          <w:rFonts w:eastAsia="Calibri" w:cs="Times New Roman"/>
        </w:rPr>
      </w:pPr>
      <w:r w:rsidRPr="00B623DB">
        <w:rPr>
          <w:rFonts w:eastAsia="Calibri" w:cs="Times New Roman"/>
        </w:rPr>
        <w:tab/>
        <w:t>Ispitavši pobijano rješenje na temelju odredaba članka 365. stavaka 1. i 2. i članka 381. Zakona o parničnom postupku („Narodne novine“ broj: 148/11-pročišćeni tekst, 25/13, 89/14 i</w:t>
      </w:r>
      <w:r w:rsidR="00DA040D">
        <w:rPr>
          <w:rFonts w:eastAsia="Calibri" w:cs="Times New Roman"/>
        </w:rPr>
        <w:t xml:space="preserve"> 70/19; dalje: ZPP), u vezi s člankom</w:t>
      </w:r>
      <w:r w:rsidRPr="00B623DB">
        <w:rPr>
          <w:rFonts w:eastAsia="Calibri" w:cs="Times New Roman"/>
        </w:rPr>
        <w:t xml:space="preserve"> 6. Stečajnog zakona („Narodne novine“ broj: 44/96, 29/99, 129/00, 123/03, 197/03, 82/06, 116/10, 25/12 i 133/12; dalje: SZ) u granicama razloga navedenih u žalbama te pazeći po službenoj dužnosti na bitne povrede odredaba postupka iz čl</w:t>
      </w:r>
      <w:r w:rsidR="00DA040D">
        <w:rPr>
          <w:rFonts w:eastAsia="Calibri" w:cs="Times New Roman"/>
        </w:rPr>
        <w:t>anka</w:t>
      </w:r>
      <w:r w:rsidRPr="00B623DB">
        <w:rPr>
          <w:rFonts w:eastAsia="Calibri" w:cs="Times New Roman"/>
        </w:rPr>
        <w:t xml:space="preserve"> 354. st</w:t>
      </w:r>
      <w:r w:rsidR="00DA040D">
        <w:rPr>
          <w:rFonts w:eastAsia="Calibri" w:cs="Times New Roman"/>
        </w:rPr>
        <w:t>avka 2. točaka</w:t>
      </w:r>
      <w:r w:rsidRPr="00B623DB">
        <w:rPr>
          <w:rFonts w:eastAsia="Calibri" w:cs="Times New Roman"/>
        </w:rPr>
        <w:t xml:space="preserve"> 2., 4., 8., 9., 13. i 14. tog Zakona i na pravilnu primjenu materijalnog prava, ovaj sud je utvrdio da je rješenje u pobijanom dijelu pravilno i zakonito. </w:t>
      </w:r>
    </w:p>
    <w:p w:rsidRPr="00B623DB" w:rsidR="00B623DB" w:rsidP="00B623DB" w:rsidRDefault="00B623DB">
      <w:pPr>
        <w:spacing w:after="0"/>
        <w:jc w:val="both"/>
        <w:rPr>
          <w:rFonts w:eastAsia="Calibri" w:cs="Times New Roman"/>
        </w:rPr>
      </w:pPr>
      <w:r w:rsidRPr="00B623DB">
        <w:rPr>
          <w:rFonts w:eastAsia="Calibri" w:cs="Times New Roman"/>
        </w:rPr>
        <w:tab/>
      </w:r>
    </w:p>
    <w:p w:rsidRPr="00B623DB" w:rsidR="00B623DB" w:rsidP="00B623DB" w:rsidRDefault="00B623DB">
      <w:pPr>
        <w:spacing w:after="0"/>
        <w:jc w:val="both"/>
        <w:rPr>
          <w:rFonts w:eastAsia="Calibri" w:cs="Times New Roman"/>
        </w:rPr>
      </w:pPr>
      <w:r w:rsidRPr="00B623DB">
        <w:rPr>
          <w:rFonts w:eastAsia="Calibri" w:cs="Times New Roman"/>
        </w:rPr>
        <w:tab/>
        <w:t xml:space="preserve">Iz stanja spisa i obrazloženja pobijanog rješenja, koje okolnosti se žalbama ne dovode u pitanje, proizlazi da je stečajni vjerovnik Hypo group d.o.o. Rijeka, osporio tražbine drugih stečajnih vjerovnika, a koje tražbine je priznala stečajna upraviteljica, kako one koje se temelje na ovršnim ispravama tako i one koje se temelje na vjerodostojnim ispravama. </w:t>
      </w:r>
    </w:p>
    <w:p w:rsidRPr="00B623DB" w:rsidR="00B623DB" w:rsidP="00B623DB" w:rsidRDefault="00B623DB">
      <w:pPr>
        <w:spacing w:after="0"/>
        <w:jc w:val="both"/>
        <w:rPr>
          <w:rFonts w:eastAsia="Calibri" w:cs="Times New Roman"/>
        </w:rPr>
      </w:pPr>
    </w:p>
    <w:p w:rsidRPr="00B623DB" w:rsidR="00B623DB" w:rsidP="00B623DB" w:rsidRDefault="00B623DB">
      <w:pPr>
        <w:spacing w:after="0"/>
        <w:jc w:val="both"/>
        <w:rPr>
          <w:rFonts w:eastAsia="Calibri" w:cs="Times New Roman"/>
        </w:rPr>
      </w:pPr>
      <w:r w:rsidRPr="00B623DB">
        <w:rPr>
          <w:rFonts w:eastAsia="Calibri" w:cs="Times New Roman"/>
        </w:rPr>
        <w:tab/>
        <w:t>Odredba članka 266. SZ-a propisuje: (1) Ako je stečajni upravitelj osporio tražbinu, sud će vjerovnika uputiti na parnicu protiv stečajnoga dužnika radi utvrđivanja osporene tražbine.(2) Ako je koji od stečajnih vjerovnika osporio tražbinu koju je priznao stečajni upravitelj, sud će stečajnoga vjerovnika uputiti na parnicu radi utvrđivanja osporene tražbine. Osporavatelj u takvoj parnici nastupa u ime i za račun stečajnoga dužnika.(3) Ako su osporene tražbine radnika i prijašnjih dužnikovih radnika, parnica radi utvrđivanja osporene tražbine vodi se prema općim odredbama u postupku pred sudovima, te posebnim odredbama za parnice u radnim sporovima.(4) Ako za osporenu tražbinu postoji ovršna isprava, sud će na parnicu uputiti osporavatelja da dokaže osnovanost svoga osporavanja.</w:t>
      </w:r>
    </w:p>
    <w:p w:rsidRPr="00B623DB" w:rsidR="00B623DB" w:rsidP="00B623DB" w:rsidRDefault="00B623DB">
      <w:pPr>
        <w:spacing w:after="0"/>
        <w:jc w:val="both"/>
        <w:rPr>
          <w:rFonts w:eastAsia="Calibri" w:cs="Times New Roman"/>
        </w:rPr>
      </w:pPr>
    </w:p>
    <w:p w:rsidRPr="00B623DB" w:rsidR="00B623DB" w:rsidP="00B623DB" w:rsidRDefault="00B623DB">
      <w:pPr>
        <w:spacing w:after="0"/>
        <w:jc w:val="both"/>
        <w:rPr>
          <w:rFonts w:eastAsia="Calibri" w:cs="Times New Roman"/>
        </w:rPr>
      </w:pPr>
      <w:r w:rsidRPr="00B623DB">
        <w:rPr>
          <w:rFonts w:eastAsia="Calibri" w:cs="Times New Roman"/>
        </w:rPr>
        <w:tab/>
        <w:t xml:space="preserve">Imajući u vidu citirane odredbe kojom odredbom su regulirane „osporene tražbine“, te dokumentaciju koja je priložena spisu, ocjena je ovog suda da je sud prvog stupnja pravilno donio pobijano rješenje kojim je uputio stečajnog vjerovnika Hypo group d.o.o. na pokretanje parnice radi dokazivanja osnovanosti svog osporavanja. </w:t>
      </w:r>
    </w:p>
    <w:p w:rsidRPr="00B623DB" w:rsidR="00B623DB" w:rsidP="00B623DB" w:rsidRDefault="00B623DB">
      <w:pPr>
        <w:spacing w:after="0"/>
        <w:jc w:val="both"/>
        <w:rPr>
          <w:rFonts w:eastAsia="Calibri" w:cs="Times New Roman"/>
        </w:rPr>
      </w:pPr>
    </w:p>
    <w:p w:rsidRPr="00B623DB" w:rsidR="00B623DB" w:rsidP="00B623DB" w:rsidRDefault="00B623DB">
      <w:pPr>
        <w:spacing w:after="0"/>
        <w:jc w:val="both"/>
        <w:rPr>
          <w:rFonts w:eastAsia="Calibri" w:cs="Times New Roman"/>
        </w:rPr>
      </w:pPr>
      <w:r w:rsidRPr="00B623DB">
        <w:rPr>
          <w:rFonts w:eastAsia="Calibri" w:cs="Times New Roman"/>
        </w:rPr>
        <w:tab/>
        <w:t xml:space="preserve">Dakle, budući da je predmetni postupak izvanparnični postupak u kojem nije moguće raspravljati i izvoditi dokaze o osnovanosti ili neosnovanosti tražbine, već je propisan drugi put pravne zaštite, te se u slučaju osporavanja navedene tražbine, stečajni vjerovnik koji je osporio navedene tražbine koje je priznala stečajna upraviteljica, upućuje na parnicu radi utvrđivanja osnovanosti osporene tražbine. </w:t>
      </w:r>
    </w:p>
    <w:p w:rsidRPr="00B623DB" w:rsidR="00B623DB" w:rsidP="00B623DB" w:rsidRDefault="00B623DB">
      <w:pPr>
        <w:spacing w:after="0"/>
        <w:jc w:val="both"/>
        <w:rPr>
          <w:rFonts w:eastAsia="Calibri" w:cs="Times New Roman"/>
        </w:rPr>
      </w:pPr>
    </w:p>
    <w:p w:rsidRPr="00B623DB" w:rsidR="00B623DB" w:rsidP="00B623DB" w:rsidRDefault="00B623DB">
      <w:pPr>
        <w:spacing w:after="0"/>
        <w:jc w:val="both"/>
        <w:rPr>
          <w:rFonts w:eastAsia="Calibri" w:cs="Times New Roman"/>
        </w:rPr>
      </w:pPr>
      <w:r w:rsidRPr="00B623DB">
        <w:rPr>
          <w:rFonts w:eastAsia="Calibri" w:cs="Times New Roman"/>
        </w:rPr>
        <w:tab/>
        <w:t xml:space="preserve">Slijedom iznesenog, ocjena je ovog suda da žalbeni navodi žalitelja nisu doveli u sumnju pravilnost i zakonitost rješenja u pobijanom dijelu. Naime, osnovanost razloga osporavanja tražbina od strane stečajnog upravitelja ili drugih stečajnih vjerovnika, sudac nije ovlašten u ovom postupku ocjenjivati budući da je predmetni postupak izvanparnični postupak u kojem nije moguće raspravljati i izvoditi dokaze o osnovanosti ili neosnovanosti tražbine. To stoga što se radi o razlozima o kojima ovisi osnovanost žaliteljevih tražbina, a osnovanost osporavanja tražbine od strane stečajnog upravitelja ili drugih vjerovnika predmet je parničnog, a ne ovog izvanparničnog postupka, u kojem na temelju tablice ispitanih tražbina sudac rješenjem, kao što je ovo pobijano rješenje samo odlučuje o tome u kojem su iznosu i u kojem isplatnom redu utvrđene, odnosno osporene pojedine tražbine. Stoga će </w:t>
      </w:r>
      <w:r w:rsidRPr="00B623DB">
        <w:rPr>
          <w:rFonts w:eastAsia="Calibri" w:cs="Times New Roman"/>
        </w:rPr>
        <w:lastRenderedPageBreak/>
        <w:t xml:space="preserve">žalitelji razloge koje iznose u žalbama moći iznositi i dokazivati u parnici radi utvrđenja osnovanosti osporene tražbine. </w:t>
      </w:r>
    </w:p>
    <w:p w:rsidRPr="00B623DB" w:rsidR="00B623DB" w:rsidP="00B623DB" w:rsidRDefault="00B623DB">
      <w:pPr>
        <w:spacing w:after="0"/>
        <w:jc w:val="both"/>
        <w:rPr>
          <w:rFonts w:eastAsia="Calibri" w:cs="Times New Roman"/>
        </w:rPr>
      </w:pPr>
    </w:p>
    <w:p w:rsidRPr="00B623DB" w:rsidR="00B623DB" w:rsidP="00B623DB" w:rsidRDefault="00B623DB">
      <w:pPr>
        <w:spacing w:after="0"/>
        <w:jc w:val="both"/>
        <w:rPr>
          <w:rFonts w:eastAsia="Calibri" w:cs="Times New Roman"/>
        </w:rPr>
      </w:pPr>
      <w:r w:rsidRPr="00B623DB">
        <w:rPr>
          <w:rFonts w:eastAsia="Calibri" w:cs="Times New Roman"/>
        </w:rPr>
        <w:tab/>
        <w:t>Zbog toga je valjalo na temelju č</w:t>
      </w:r>
      <w:r w:rsidR="00DA040D">
        <w:rPr>
          <w:rFonts w:eastAsia="Calibri" w:cs="Times New Roman"/>
        </w:rPr>
        <w:t xml:space="preserve">lanka </w:t>
      </w:r>
      <w:r w:rsidRPr="00B623DB">
        <w:rPr>
          <w:rFonts w:eastAsia="Calibri" w:cs="Times New Roman"/>
        </w:rPr>
        <w:t>380. t</w:t>
      </w:r>
      <w:r w:rsidR="00DA040D">
        <w:rPr>
          <w:rFonts w:eastAsia="Calibri" w:cs="Times New Roman"/>
        </w:rPr>
        <w:t>očke</w:t>
      </w:r>
      <w:r w:rsidRPr="00B623DB">
        <w:rPr>
          <w:rFonts w:eastAsia="Calibri" w:cs="Times New Roman"/>
        </w:rPr>
        <w:t xml:space="preserve"> 2. ZPP-a u vezi s čl</w:t>
      </w:r>
      <w:r w:rsidR="00DA040D">
        <w:rPr>
          <w:rFonts w:eastAsia="Calibri" w:cs="Times New Roman"/>
        </w:rPr>
        <w:t>ankom</w:t>
      </w:r>
      <w:r w:rsidRPr="00B623DB">
        <w:rPr>
          <w:rFonts w:eastAsia="Calibri" w:cs="Times New Roman"/>
        </w:rPr>
        <w:t xml:space="preserve"> 6. SZ-a odbiti žalbe kao neosnovane i potvrditi rješenje u pobijanom dijelu. </w:t>
      </w:r>
    </w:p>
    <w:p w:rsidRPr="00B623DB" w:rsidR="00B623DB" w:rsidP="00B623DB" w:rsidRDefault="00B623DB">
      <w:pPr>
        <w:spacing w:after="0"/>
        <w:jc w:val="both"/>
        <w:rPr>
          <w:rFonts w:eastAsia="Calibri" w:cs="Times New Roman"/>
        </w:rPr>
      </w:pPr>
    </w:p>
    <w:p w:rsidRPr="00B623DB" w:rsidR="00B623DB" w:rsidP="00B623DB" w:rsidRDefault="00B623DB">
      <w:pPr>
        <w:spacing w:after="0"/>
        <w:jc w:val="center"/>
        <w:rPr>
          <w:rFonts w:eastAsia="Calibri" w:cs="Times New Roman"/>
        </w:rPr>
      </w:pPr>
      <w:r w:rsidRPr="00B623DB">
        <w:rPr>
          <w:rFonts w:eastAsia="Calibri" w:cs="Times New Roman"/>
        </w:rPr>
        <w:t>Zagreb, 18. rujna 2019.</w:t>
      </w:r>
    </w:p>
    <w:p w:rsidRPr="00B623DB" w:rsidR="00B623DB" w:rsidP="00B623DB" w:rsidRDefault="00B623DB">
      <w:pPr>
        <w:spacing w:after="0"/>
        <w:jc w:val="both"/>
        <w:rPr>
          <w:rFonts w:eastAsia="Calibri" w:cs="Times New Roman"/>
        </w:rPr>
      </w:pPr>
    </w:p>
    <w:p w:rsidR="00DA040D" w:rsidP="006F07E2" w:rsidRDefault="00DA040D">
      <w:pPr>
        <w:pStyle w:val="Bezproreda"/>
        <w:ind w:left="4536"/>
        <w:jc w:val="center"/>
      </w:pPr>
      <w:r>
        <w:t>Predsjednica vijeća</w:t>
      </w:r>
    </w:p>
    <w:p w:rsidR="00DA040D" w:rsidP="006F07E2" w:rsidRDefault="00DA040D">
      <w:pPr>
        <w:pStyle w:val="Bezproreda"/>
        <w:ind w:left="4536"/>
        <w:jc w:val="center"/>
      </w:pPr>
      <w:r>
        <w:t>Kamelija Parać, v. r.</w:t>
      </w:r>
    </w:p>
    <w:p w:rsidR="00DA040D" w:rsidP="00450CBF" w:rsidRDefault="00DA040D">
      <w:pPr>
        <w:pStyle w:val="Bezproreda"/>
      </w:pPr>
    </w:p>
    <w:p w:rsidR="00DA040D" w:rsidP="00DA040D" w:rsidRDefault="00DA040D">
      <w:pPr>
        <w:pStyle w:val="Bezproreda"/>
        <w:ind w:left="4536"/>
        <w:jc w:val="center"/>
      </w:pPr>
      <w:r>
        <w:t>Za točnost otpravka – ovlašteni službenik</w:t>
      </w:r>
    </w:p>
    <w:p w:rsidRPr="00DA040D" w:rsidR="00B623DB" w:rsidP="00DA040D" w:rsidRDefault="00DA040D">
      <w:pPr>
        <w:pStyle w:val="Bezproreda"/>
        <w:ind w:left="4536"/>
        <w:jc w:val="center"/>
      </w:pPr>
      <w:r>
        <w:t>Brankica Curman</w:t>
      </w:r>
    </w:p>
    <w:p w:rsidRPr="0020453E" w:rsidR="00B623DB" w:rsidP="00B623DB" w:rsidRDefault="00B623DB">
      <w:pPr>
        <w:spacing w:after="0"/>
      </w:pPr>
    </w:p>
    <w:sectPr w:rsidRPr="0020453E" w:rsidR="00B623DB" w:rsidSect="003717A6">
      <w:headerReference w:type="default" r:id="rId11"/>
      <w:footerReference w:type="default" r:id="rId12"/>
      <w:pgSz w:w="11907" w:h="16839" w:code="9"/>
      <w:pgMar w:top="1418" w:right="1418" w:bottom="1080" w:left="1418" w:header="1436" w:footer="719"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518D4" w:rsidP="00537B78" w:rsidRDefault="00C518D4">
      <w:r>
        <w:separator/>
      </w:r>
    </w:p>
  </w:endnote>
  <w:endnote w:type="continuationSeparator" w:id="0">
    <w:p w:rsidR="00C518D4" w:rsidP="00537B78" w:rsidRDefault="00C518D4">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170492" w:rsidRDefault="006C43C5">
    <w:pPr>
      <w:pStyle w:val="Stranica"/>
      <w:jc w:val="left"/>
    </w:pPr>
  </w:p>
</w:ftr>
</file>

<file path=word/footnotes.xml><?xml version="1.0" encoding="utf-8"?>
<w:foot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518D4" w:rsidP="00537B78" w:rsidRDefault="00C518D4">
      <w:r>
        <w:separator/>
      </w:r>
    </w:p>
  </w:footnote>
  <w:footnote w:type="continuationSeparator" w:id="0">
    <w:p w:rsidR="00C518D4" w:rsidP="00537B78" w:rsidRDefault="00C518D4">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00170492" w:rsidP="004C60ED" w:rsidRDefault="00170492">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27689717"/>
            <w:dataBinding w:xpath="/icms/DomainObject.Predmet.Referada.Oznaka/derivirana_varijabla[@naziv='DomainObject.Predmet.Referada.Oznaka_1']" w:storeItemID="{100293BC-3C9C-4740-99C7-73F5E9006100}"/>
            <w:text/>
          </w:sdtPr>
          <w:sdtEndPr>
            <w:rPr>
              <w:rStyle w:val="eSPISCCParagraphDefaultFont"/>
            </w:rPr>
          </w:sdtEndPr>
          <w:sdtContent>
            <w:r w:rsidRPr="00AE4AC9" w:rsidR="00B623DB">
              <w:rPr>
                <w:rStyle w:val="eSPISCCParagraphDefaultFont"/>
              </w:rPr>
              <w:t>73</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1809619816"/>
            <w:dataBinding w:xpath="/icms/DomainObject.PoslovniBrojDokumenta/derivirana_varijabla[@naziv='DomainObject.PoslovniBrojDokumenta_1']" w:storeItemID="{100293BC-3C9C-4740-99C7-73F5E9006100}"/>
            <w:text/>
          </w:sdtPr>
          <w:sdtEndPr>
            <w:rPr>
              <w:rStyle w:val="eSPISCCParagraphDefaultFont"/>
            </w:rPr>
          </w:sdtEndPr>
          <w:sdtContent>
            <w:r w:rsidRPr="00AE4AC9" w:rsidR="00B623DB">
              <w:rPr>
                <w:rStyle w:val="eSPISCCParagraphDefaultFont"/>
              </w:rPr>
              <w:t>Pž-5320/2019-2</w:t>
            </w:r>
          </w:sdtContent>
        </w:sdt>
      </w:p>
      <w:p w:rsidR="00170492" w:rsidP="00170492" w:rsidRDefault="00170492">
        <w:pPr>
          <w:pStyle w:val="Zaglavlje"/>
          <w:spacing w:after="0"/>
          <w:jc w:val="center"/>
        </w:pPr>
        <w:r>
          <w:fldChar w:fldCharType="begin"/>
        </w:r>
        <w:r>
          <w:instrText>PAGE   \* MERGEFORMAT</w:instrText>
        </w:r>
        <w:r>
          <w:fldChar w:fldCharType="separate"/>
        </w:r>
        <w:r w:rsidR="00AE4AC9">
          <w:t>4</w:t>
        </w:r>
        <w:r>
          <w:fldChar w:fldCharType="end"/>
        </w:r>
        <w:r w:rsidR="0022360E">
          <w:br/>
        </w:r>
      </w:p>
    </w:sdtContent>
  </w:sdt>
</w:hdr>
</file>

<file path=word/numbering.xml><?xml version="1.0" encoding="utf-8"?>
<w:numbering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5796FBB"/>
    <w:multiLevelType w:val="hybridMultilevel"/>
    <w:tmpl w:val="1CBE298E"/>
    <w:lvl w:ilvl="0" w:tplc="12DE2754">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40"/>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dit="readOnly" w:enforcement="false"/>
  <w:defaultTabStop w:val="709"/>
  <w:hyphenationZone w:val="425"/>
  <w:doNotHyphenateCaps/>
  <w:characterSpacingControl w:val="doNotCompress"/>
  <w:hdrShapeDefaults>
    <o:shapedefaults spidmax="10241" v:ext="edit"/>
  </w:hdrShapeDefaults>
  <w:footnotePr>
    <w:footnote w:id="-1"/>
    <w:footnote w:id="0"/>
  </w:footnotePr>
  <w:endnotePr>
    <w:endnote w:id="-1"/>
    <w:endnote w:id="0"/>
  </w:endnotePr>
  <w:compat>
    <w:layoutTableRowsApart/>
    <w:growAutofit/>
    <w:compatSetting w:name="compatibilityMode" w:uri="http://schemas.microsoft.com/office/word" w:val="14"/>
  </w:compat>
  <w:docVars>
    <w:docVar w:name="StartDate" w:val="15. srpanj 2013."/>
    <w:docVar w:name="StartDateISO" w:val="2013-07-15"/>
    <w:docVar w:name="StartTime" w:val="06:46:23"/>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08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77B"/>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4D24"/>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6FF0"/>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AC9"/>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3DB"/>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0F8"/>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40D"/>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41"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1"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4C60ED"/>
    <w:pPr>
      <w:spacing w:after="0"/>
      <w:ind w:firstLine="0"/>
      <w:jc w:val="right"/>
    </w:pPr>
  </w:style>
  <w:style w:type="character" w:styleId="Stil1" w:customStyle="true">
    <w:name w:val="Stil1"/>
    <w:basedOn w:val="Zadanifontodlomka"/>
    <w:uiPriority w:val="1"/>
    <w:rsid w:val="00683B51"/>
    <w:rPr>
      <w:bdr w:val="none" w:color="auto" w:sz="0" w:space="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459694">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359668228">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glossary/document.xml" Type="http://schemas.openxmlformats.org/officeDocument/2006/relationships/glossaryDocument"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00F71AFA" w:rsidP="000714FB" w:rsidRDefault="000714FB">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00F71AFA" w:rsidP="00C4409E" w:rsidRDefault="00C4409E">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00F71AFA" w:rsidP="000714FB" w:rsidRDefault="000714FB">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00F71AFA" w:rsidP="000714FB" w:rsidRDefault="000714FB">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00F71AFA" w:rsidP="000714FB" w:rsidRDefault="000714FB">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00F71AFA" w:rsidP="000714FB" w:rsidRDefault="000714FB">
          <w:pPr>
            <w:pStyle w:val="8E889B82CA684C09A4EBEE999BCF3BD42"/>
          </w:pPr>
          <w:r w:rsidRPr="001C2DDA">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09E"/>
    <w:rsid w:val="000714FB"/>
    <w:rsid w:val="00097387"/>
    <w:rsid w:val="00121D43"/>
    <w:rsid w:val="00201BA8"/>
    <w:rsid w:val="002C2596"/>
    <w:rsid w:val="003820FE"/>
    <w:rsid w:val="004456A8"/>
    <w:rsid w:val="00483442"/>
    <w:rsid w:val="005858C7"/>
    <w:rsid w:val="00614E4F"/>
    <w:rsid w:val="007B3F2E"/>
    <w:rsid w:val="00855D0C"/>
    <w:rsid w:val="0085783F"/>
    <w:rsid w:val="008B1279"/>
    <w:rsid w:val="008E597B"/>
    <w:rsid w:val="00C4409E"/>
    <w:rsid w:val="00CA4155"/>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714FB"/>
    <w:rPr>
      <w:noProof/>
      <w:color w:val="808080"/>
      <w:bdr w:val="none" w:color="auto" w:sz="0" w:space="0"/>
      <w:shd w:val="clear" w:color="auto" w:fill="CCFFFF"/>
      <w:lang w:val="hr-HR"/>
    </w:rPr>
  </w:style>
  <w:style w:type="paragraph" w:styleId="B0CD4C336F954CDDB99272B08CB277BE" w:customStyle="true">
    <w:name w:val="B0CD4C336F954CDDB99272B08CB277BE"/>
  </w:style>
  <w:style w:type="paragraph" w:styleId="B10D299FF6B04F2980CA59984DD52830" w:customStyle="true">
    <w:name w:val="B10D299FF6B04F2980CA59984DD52830"/>
  </w:style>
  <w:style w:type="paragraph" w:styleId="070491135C7343F8B899B1E5528B5496" w:customStyle="true">
    <w:name w:val="070491135C7343F8B899B1E5528B5496"/>
  </w:style>
  <w:style w:type="paragraph" w:styleId="A2D3AB132FE44C9A804CB0BCE27CB1E8" w:customStyle="true">
    <w:name w:val="A2D3AB132FE44C9A804CB0BCE27CB1E8"/>
  </w:style>
  <w:style w:type="paragraph" w:styleId="67A439E68AF14DC6B7801868564B8225" w:customStyle="true">
    <w:name w:val="67A439E68AF14DC6B7801868564B8225"/>
  </w:style>
  <w:style w:type="paragraph" w:styleId="3893AC13EACA41EDB7C01A448C02A806" w:customStyle="true">
    <w:name w:val="3893AC13EACA41EDB7C01A448C02A806"/>
  </w:style>
  <w:style w:type="paragraph" w:styleId="E9711A8715A34F56AC129391156FDBFB" w:customStyle="true">
    <w:name w:val="E9711A8715A34F56AC129391156FDBFB"/>
  </w:style>
  <w:style w:type="paragraph" w:styleId="74CF45AFD5914477BC863F90DDE40AD1" w:customStyle="true">
    <w:name w:val="74CF45AFD5914477BC863F90DDE40AD1"/>
  </w:style>
  <w:style w:type="paragraph" w:styleId="AD1EE1A2E499453BA7117B7D7B2A6EDB" w:customStyle="true">
    <w:name w:val="AD1EE1A2E499453BA7117B7D7B2A6EDB"/>
  </w:style>
  <w:style w:type="paragraph" w:styleId="BB78A3202184471A856E1C1148D0FE39" w:customStyle="true">
    <w:name w:val="BB78A3202184471A856E1C1148D0FE39"/>
  </w:style>
  <w:style w:type="paragraph" w:styleId="BA562036727348ADAF95C3E6F1785AAD" w:customStyle="true">
    <w:name w:val="BA562036727348ADAF95C3E6F1785AAD"/>
  </w:style>
  <w:style w:type="paragraph" w:styleId="7327DC5479084347B4A62AC2797ECBDD" w:customStyle="true">
    <w:name w:val="7327DC5479084347B4A62AC2797ECBDD"/>
  </w:style>
  <w:style w:type="paragraph" w:styleId="BE633DF1719A4F7F9FC93FF7AC0B8AB8" w:customStyle="true">
    <w:name w:val="BE633DF1719A4F7F9FC93FF7AC0B8AB8"/>
    <w:rsid w:val="00C4409E"/>
  </w:style>
  <w:style w:type="paragraph" w:styleId="28EBA36691C148D6A5A2E6A907A2C366" w:customStyle="true">
    <w:name w:val="28EBA36691C148D6A5A2E6A907A2C366"/>
    <w:rsid w:val="00C4409E"/>
  </w:style>
  <w:style w:type="paragraph" w:styleId="0A3BF5C17DE948178EF6D64909A97797" w:customStyle="true">
    <w:name w:val="0A3BF5C17DE948178EF6D64909A97797"/>
    <w:rsid w:val="00C4409E"/>
  </w:style>
  <w:style w:type="paragraph" w:styleId="A5EDB863C2F640369A45094957B356D9" w:customStyle="true">
    <w:name w:val="A5EDB863C2F640369A45094957B356D9"/>
    <w:rsid w:val="00C4409E"/>
  </w:style>
  <w:style w:type="paragraph" w:styleId="797F028671094211A6375963200B3D17" w:customStyle="true">
    <w:name w:val="797F028671094211A6375963200B3D17"/>
    <w:rsid w:val="00C4409E"/>
  </w:style>
  <w:style w:type="paragraph" w:styleId="01AED7AAFE7A4DD7B63BD3291BC8DE21" w:customStyle="true">
    <w:name w:val="01AED7AAFE7A4DD7B63BD3291BC8DE21"/>
    <w:rsid w:val="00C4409E"/>
  </w:style>
  <w:style w:type="paragraph" w:styleId="8E889B82CA684C09A4EBEE999BCF3BD4" w:customStyle="true">
    <w:name w:val="8E889B82CA684C09A4EBEE999BCF3BD4"/>
    <w:rsid w:val="00C4409E"/>
  </w:style>
  <w:style w:type="paragraph" w:styleId="B10D299FF6B04F2980CA59984DD528301" w:customStyle="true">
    <w:name w:val="B10D299FF6B04F2980CA59984DD528301"/>
    <w:rsid w:val="00201BA8"/>
    <w:pPr>
      <w:spacing w:after="0" w:line="240" w:lineRule="auto"/>
    </w:pPr>
    <w:rPr>
      <w:rFonts w:ascii="Times New Roman" w:hAnsi="Times New Roman" w:eastAsiaTheme="minorHAnsi"/>
      <w:b/>
      <w:noProof/>
      <w:sz w:val="24"/>
      <w:szCs w:val="24"/>
      <w:lang w:eastAsia="en-US"/>
    </w:rPr>
  </w:style>
  <w:style w:type="paragraph" w:styleId="A5EDB863C2F640369A45094957B356D91" w:customStyle="true">
    <w:name w:val="A5EDB863C2F640369A45094957B356D9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1" w:customStyle="true">
    <w:name w:val="797F028671094211A6375963200B3D17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1" w:customStyle="true">
    <w:name w:val="01AED7AAFE7A4DD7B63BD3291BC8DE211"/>
    <w:rsid w:val="00201BA8"/>
    <w:pPr>
      <w:spacing w:after="0" w:line="240" w:lineRule="auto"/>
      <w:jc w:val="right"/>
    </w:pPr>
    <w:rPr>
      <w:rFonts w:ascii="Times New Roman" w:hAnsi="Times New Roman" w:eastAsia="Times New Roman"/>
      <w:sz w:val="24"/>
      <w:szCs w:val="24"/>
    </w:rPr>
  </w:style>
  <w:style w:type="paragraph" w:styleId="8E889B82CA684C09A4EBEE999BCF3BD41" w:customStyle="true">
    <w:name w:val="8E889B82CA684C09A4EBEE999BCF3BD41"/>
    <w:rsid w:val="00201BA8"/>
    <w:pPr>
      <w:spacing w:after="0" w:line="240" w:lineRule="auto"/>
      <w:jc w:val="right"/>
    </w:pPr>
    <w:rPr>
      <w:rFonts w:ascii="Times New Roman" w:hAnsi="Times New Roman" w:eastAsia="Times New Roman"/>
      <w:sz w:val="24"/>
      <w:szCs w:val="24"/>
    </w:rPr>
  </w:style>
  <w:style w:type="paragraph" w:styleId="7F40C0097BA249BC9A5FE9CB01777649" w:customStyle="true">
    <w:name w:val="7F40C0097BA249BC9A5FE9CB01777649"/>
    <w:rsid w:val="00201BA8"/>
    <w:pPr>
      <w:spacing w:after="0" w:line="240" w:lineRule="auto"/>
      <w:jc w:val="right"/>
    </w:pPr>
    <w:rPr>
      <w:rFonts w:ascii="Times New Roman" w:hAnsi="Times New Roman" w:eastAsia="Times New Roman"/>
      <w:sz w:val="24"/>
      <w:szCs w:val="24"/>
    </w:rPr>
  </w:style>
  <w:style w:type="paragraph" w:styleId="55D09C916B014103813FC3AEB1980F99" w:customStyle="true">
    <w:name w:val="55D09C916B014103813FC3AEB1980F99"/>
    <w:rsid w:val="00201BA8"/>
    <w:pPr>
      <w:spacing w:after="0" w:line="240" w:lineRule="auto"/>
      <w:jc w:val="right"/>
    </w:pPr>
    <w:rPr>
      <w:rFonts w:ascii="Times New Roman" w:hAnsi="Times New Roman" w:eastAsia="Times New Roman"/>
      <w:sz w:val="24"/>
      <w:szCs w:val="24"/>
    </w:rPr>
  </w:style>
  <w:style w:type="paragraph" w:styleId="B10D299FF6B04F2980CA59984DD528302" w:customStyle="true">
    <w:name w:val="B10D299FF6B04F2980CA59984DD528302"/>
    <w:rsid w:val="000714FB"/>
    <w:pPr>
      <w:spacing w:after="0" w:line="240" w:lineRule="auto"/>
    </w:pPr>
    <w:rPr>
      <w:rFonts w:ascii="Times New Roman" w:hAnsi="Times New Roman" w:eastAsiaTheme="minorHAnsi"/>
      <w:b/>
      <w:noProof/>
      <w:sz w:val="24"/>
      <w:szCs w:val="24"/>
      <w:lang w:eastAsia="en-US"/>
    </w:rPr>
  </w:style>
  <w:style w:type="paragraph" w:styleId="A5EDB863C2F640369A45094957B356D92" w:customStyle="true">
    <w:name w:val="A5EDB863C2F640369A45094957B356D9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2" w:customStyle="true">
    <w:name w:val="797F028671094211A6375963200B3D17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2" w:customStyle="true">
    <w:name w:val="01AED7AAFE7A4DD7B63BD3291BC8DE212"/>
    <w:rsid w:val="000714FB"/>
    <w:pPr>
      <w:spacing w:after="0" w:line="240" w:lineRule="auto"/>
      <w:jc w:val="right"/>
    </w:pPr>
    <w:rPr>
      <w:rFonts w:ascii="Times New Roman" w:hAnsi="Times New Roman" w:eastAsia="Times New Roman"/>
      <w:sz w:val="24"/>
      <w:szCs w:val="24"/>
    </w:rPr>
  </w:style>
  <w:style w:type="paragraph" w:styleId="8E889B82CA684C09A4EBEE999BCF3BD42" w:customStyle="true">
    <w:name w:val="8E889B82CA684C09A4EBEE999BCF3BD42"/>
    <w:rsid w:val="000714FB"/>
    <w:pPr>
      <w:spacing w:after="0" w:line="240" w:lineRule="auto"/>
      <w:jc w:val="right"/>
    </w:pPr>
    <w:rPr>
      <w:rFonts w:ascii="Times New Roman" w:hAnsi="Times New Roman" w:eastAsia="Times New Roman"/>
      <w:sz w:val="24"/>
      <w:szCs w:val="24"/>
    </w:rPr>
  </w:style>
  <w:style w:type="paragraph" w:styleId="50E210BC598946C59CC45DC66EE147E1" w:customStyle="true">
    <w:name w:val="50E210BC598946C59CC45DC66EE147E1"/>
    <w:rsid w:val="000714FB"/>
    <w:pPr>
      <w:spacing w:after="0" w:line="240" w:lineRule="auto"/>
      <w:jc w:val="right"/>
    </w:pPr>
    <w:rPr>
      <w:rFonts w:ascii="Times New Roman" w:hAnsi="Times New Roman" w:eastAsia="Times New Roman"/>
      <w:sz w:val="24"/>
      <w:szCs w:val="24"/>
    </w:rPr>
  </w:style>
  <w:style w:type="paragraph" w:styleId="E100744690C94E8496AF6717CFF0F122" w:customStyle="true">
    <w:name w:val="E100744690C94E8496AF6717CFF0F122"/>
    <w:rsid w:val="000714FB"/>
    <w:pPr>
      <w:spacing w:after="0" w:line="240" w:lineRule="auto"/>
      <w:jc w:val="right"/>
    </w:pPr>
    <w:rPr>
      <w:rFonts w:ascii="Times New Roman" w:hAnsi="Times New Roman" w:eastAsia="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18. rujna 2019.</izvorni_sadrzaj>
    <derivirana_varijabla naziv="DomainObject.DatumDonosenjaOdluke_1">18.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Pž-5320/2019-2</izvorni_sadrzaj>
    <derivirana_varijabla naziv="DomainObject.Oznaka_1">Pž-5320/2019-2</derivirana_varijabla>
  </DomainObject.Oznaka>
  <DomainObject.DonositeljOdluke.Ime>
    <izvorni_sadrzaj>Gorana</izvorni_sadrzaj>
    <derivirana_varijabla naziv="DomainObject.DonositeljOdluke.Ime_1">Gorana</derivirana_varijabla>
  </DomainObject.DonositeljOdluke.Ime>
  <DomainObject.DonositeljOdluke.Prezime>
    <izvorni_sadrzaj>Aralica Martinović</izvorni_sadrzaj>
    <derivirana_varijabla naziv="DomainObject.DonositeljOdluke.Prezime_1">Aralica Martinović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5320</izvorni_sadrzaj>
    <derivirana_varijabla naziv="DomainObject.Predmet.Broj_1">5320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2019.</izvorni_sadrzaj>
    <derivirana_varijabla naziv="DomainObject.Predmet.DatumOsnivanja_1">12.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rujna 2019.</izvorni_sadrzaj>
    <derivirana_varijabla naziv="DomainObject.Predmet.DatumRjesavanja_1">20. rujna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Pž-5320/2019</izvorni_sadrzaj>
    <derivirana_varijabla naziv="DomainObject.Predmet.OznakaBroj_1">Pž-5320/2019</derivirana_varijabla>
  </DomainObject.Predmet.OznakaBroj>
  <DomainObject.Predmet.OznakaBrojOptuznogAkta>
    <izvorni_sadrzaj/>
    <derivirana_varijabla naziv="DomainObject.Predmet.OznakaBrojOptuznogAkta_1"/>
  </DomainObject.Predmet.OznakaBrojOptuznogAkta>
  <DomainObject.Predmet.PredmetRijesio.Ime>
    <izvorni_sadrzaj>Gorana</izvorni_sadrzaj>
    <derivirana_varijabla naziv="DomainObject.Predmet.PredmetRijesio.Ime_1">Gorana</derivirana_varijabla>
  </DomainObject.Predmet.PredmetRijesio.Ime>
  <DomainObject.Predmet.PredmetRijesio.Oib>
    <izvorni_sadrzaj/>
    <derivirana_varijabla naziv="DomainObject.Predmet.PredmetRijesio.Oib_1"/>
  </DomainObject.Predmet.PredmetRijesio.Oib>
  <DomainObject.Predmet.PredmetRijesio.Prezime>
    <izvorni_sadrzaj>Aralica Martinović</izvorni_sadrzaj>
    <derivirana_varijabla naziv="DomainObject.Predmet.PredmetRijesio.Prezime_1">Aralica Martinović</derivirana_varijabla>
  </DomainObject.Predmet.PredmetRijesio.Prezime>
  <DomainObject.Predmet.PrimjedbaSuca>
    <izvorni_sadrzaj>+upućivanje u parnicu</izvorni_sadrzaj>
    <derivirana_varijabla naziv="DomainObject.Predmet.PrimjedbaSuca_1">+upućivanje u parnicu</derivirana_varijabla>
  </DomainObject.Predmet.PrimjedbaSuca>
  <DomainObject.Predmet.PrimjedbaUpisnicara>
    <izvorni_sadrzaj/>
    <derivirana_varijabla naziv="DomainObject.Predmet.PrimjedbaUpisnicara_1"/>
  </DomainObject.Predmet.PrimjedbaUpisnicara>
  <DomainObject.Predmet.ProtustrankaFormated>
    <izvorni_sadrzaj>  OPEKA dioničko društvo za proizvodnju i promet građevinskog materijala</izvorni_sadrzaj>
    <derivirana_varijabla naziv="DomainObject.Predmet.ProtustrankaFormated_1">  OPEKA dioničko društvo za proizvodnju i promet građevinskog materijala</derivirana_varijabla>
  </DomainObject.Predmet.ProtustrankaFormated>
  <DomainObject.Predmet.ProtustrankaFormatedOIB>
    <izvorni_sadrzaj>  OPEKA dioničko društvo za proizvodnju i promet građevinskog materijala, OIB 61547182596</izvorni_sadrzaj>
    <derivirana_varijabla naziv="DomainObject.Predmet.ProtustrankaFormatedOIB_1">  OPEKA dioničko društvo za proizvodnju i promet građevinskog materijala, OIB 61547182596</derivirana_varijabla>
  </DomainObject.Predmet.ProtustrankaFormatedOIB>
  <DomainObject.Predmet.ProtustrankaFormatedWithAdress>
    <izvorni_sadrzaj> OPEKA dioničko društvo za proizvodnju i promet građevinskog materijala, Vukovarska 215, 31000 Osijek</izvorni_sadrzaj>
    <derivirana_varijabla naziv="DomainObject.Predmet.ProtustrankaFormatedWithAdress_1"> OPEKA dioničko društvo za proizvodnju i promet građevinskog materijala, Vukovarska 215, 31000 Osijek</derivirana_varijabla>
  </DomainObject.Predmet.ProtustrankaFormatedWithAdress>
  <DomainObject.Predmet.ProtustrankaFormatedWithAdressOIB>
    <izvorni_sadrzaj> OPEKA dioničko društvo za proizvodnju i promet građevinskog materijala, OIB 61547182596, Vukovarska 215, 31000 Osijek</izvorni_sadrzaj>
    <derivirana_varijabla naziv="DomainObject.Predmet.ProtustrankaFormatedWithAdressOIB_1"> OPEKA dioničko društvo za proizvodnju i promet građevinskog materijala, OIB 61547182596, Vukovarska 215, 31000 Osijek</derivirana_varijabla>
  </DomainObject.Predmet.ProtustrankaFormatedWithAdressOIB>
  <DomainObject.Predmet.ProtustrankaWithAdress>
    <izvorni_sadrzaj>OPEKA dioničko društvo za proizvodnju i promet građevinskog materijala Vukovarska 215, 31000 Osijek</izvorni_sadrzaj>
    <derivirana_varijabla naziv="DomainObject.Predmet.ProtustrankaWithAdress_1">OPEKA dioničko društvo za proizvodnju i promet građevinskog materijala Vukovarska 215, 31000 Osijek</derivirana_varijabla>
  </DomainObject.Predmet.ProtustrankaWithAdress>
  <DomainObject.Predmet.ProtustrankaWithAdressOIB>
    <izvorni_sadrzaj>OPEKA dioničko društvo za proizvodnju i promet građevinskog materijala, OIB 61547182596, Vukovarska 215, 31000 Osijek</izvorni_sadrzaj>
    <derivirana_varijabla naziv="DomainObject.Predmet.ProtustrankaWithAdressOIB_1">OPEKA dioničko društvo za proizvodnju i promet građevinskog materijala, OIB 61547182596, Vukovarska 215, 31000 Osijek</derivirana_varijabla>
  </DomainObject.Predmet.ProtustrankaWithAdressOIB>
  <DomainObject.Predmet.ProtustrankaNazivFormated>
    <izvorni_sadrzaj>OPEKA dioničko društvo za proizvodnju i promet građevinskog materijala</izvorni_sadrzaj>
    <derivirana_varijabla naziv="DomainObject.Predmet.ProtustrankaNazivFormated_1">OPEKA dioničko društvo za proizvodnju i promet građevinskog materijala</derivirana_varijabla>
    <derivirana_varijabla naziv="Padez">OPEKA dioničko društvo za proizvodnju i promet građevinskog materijala</derivirana_varijabla>
  </DomainObject.Predmet.ProtustrankaNazivFormated>
  <DomainObject.Predmet.ProtustrankaNazivFormatedOIB>
    <izvorni_sadrzaj>OPEKA dioničko društvo za proizvodnju i promet građevinskog materijala, OIB 61547182596</izvorni_sadrzaj>
    <derivirana_varijabla naziv="DomainObject.Predmet.ProtustrankaNazivFormatedOIB_1">OPEKA dioničko društvo za proizvodnju i promet građevinskog materijala, OIB 61547182596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73 - Aralica</izvorni_sadrzaj>
    <derivirana_varijabla naziv="DomainObject.Predmet.Referada.Naziv_1">Ref. 73 - Aralica</derivirana_varijabla>
  </DomainObject.Predmet.Referada.Naziv>
  <DomainObject.Predmet.Referada.Oznaka>
    <izvorni_sadrzaj>73</izvorni_sadrzaj>
    <derivirana_varijabla naziv="DomainObject.Predmet.Referada.Oznaka_1">73</derivirana_varijabla>
  </DomainObject.Predmet.Referada.Oznaka>
  <DomainObject.Predmet.Referada.Prostorija.Naziv>
    <izvorni_sadrzaj>Kabinet (32)</izvorni_sadrzaj>
    <derivirana_varijabla naziv="DomainObject.Predmet.Referada.Prostorija.Naziv_1">Kabinet (32)</derivirana_varijabla>
  </DomainObject.Predmet.Referada.Prostorija.Naziv>
  <DomainObject.Predmet.Referada.Prostorija.Oznaka>
    <izvorni_sadrzaj>32</izvorni_sadrzaj>
    <derivirana_varijabla naziv="DomainObject.Predmet.Referada.Prostorija.Oznaka_1">32</derivirana_varijabla>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Gorana Aralica Martinović</izvorni_sadrzaj>
    <derivirana_varijabla naziv="DomainObject.Predmet.Referada.Sudac_1">Gorana Aralica Martinović</derivirana_varijabla>
    <derivirana_varijabla naziv="Dativ">Gorana Aralica Martinović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Osporeno potraživanje</izvorni_sadrzaj>
    <derivirana_varijabla naziv="DomainObject.Predmet.VrstaSpora.Naziv_1">Osporeno potraživanje</derivirana_varijabla>
  </DomainObject.Predmet.VrstaSpora.Naziv>
  <DomainObject.Predmet.Zapisnicar>
    <izvorni_sadrzaj>Darinka Čusak</izvorni_sadrzaj>
    <derivirana_varijabla naziv="DomainObject.Predmet.Zapisnicar_1">Darinka Čusak</derivirana_varijabla>
    <derivirana_varijabla naziv="Padez">Darinka Čusak</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OPEKA dioničko društvo za proizvodnju i promet građevinskog materijala</item>
    </izvorni_sadrzaj>
    <derivirana_varijabla naziv="DomainObject.Predmet.ProtuStrankaListFormated_1">
      <item>OPEKA dioničko društvo za proizvodnju i promet građevinskog materijala</item>
    </derivirana_varijabla>
  </DomainObject.Predmet.ProtuStrankaListFormated>
  <DomainObject.Predmet.ProtuStrankaListFormatedOIB>
    <izvorni_sadrzaj>
      <item>OPEKA dioničko društvo za proizvodnju i promet građevinskog materijala, OIB 61547182596</item>
    </izvorni_sadrzaj>
    <derivirana_varijabla naziv="DomainObject.Predmet.ProtuStrankaListFormatedOIB_1">
      <item>OPEKA dioničko društvo za proizvodnju i promet građevinskog materijala, OIB 61547182596</item>
    </derivirana_varijabla>
  </DomainObject.Predmet.ProtuStrankaListFormatedOIB>
  <DomainObject.Predmet.ProtuStrankaListFormatedWithAdress>
    <izvorni_sadrzaj>
      <item>OPEKA dioničko društvo za proizvodnju i promet građevinskog materijala, Vukovarska 215, 31000 Osijek</item>
    </izvorni_sadrzaj>
    <derivirana_varijabla naziv="DomainObject.Predmet.ProtuStrankaListFormatedWithAdress_1">
      <item>OPEKA dioničko društvo za proizvodnju i promet građevinskog materijala, Vukovarska 215, 31000 Osijek</item>
    </derivirana_varijabla>
  </DomainObject.Predmet.ProtuStrankaListFormatedWithAdress>
  <DomainObject.Predmet.ProtuStrankaListFormatedWithAdressOIB>
    <izvorni_sadrzaj>
      <item>OPEKA dioničko društvo za proizvodnju i promet građevinskog materijala, OIB 61547182596, Vukovarska 215, 31000 Osijek</item>
    </izvorni_sadrzaj>
    <derivirana_varijabla naziv="DomainObject.Predmet.ProtuStrankaListFormatedWithAdressOIB_1">
      <item>OPEKA dioničko društvo za proizvodnju i promet građevinskog materijala, OIB 61547182596, Vukovarska 215, 31000 Osijek</item>
    </derivirana_varijabla>
  </DomainObject.Predmet.ProtuStrankaListFormatedWithAdressOIB>
  <DomainObject.Predmet.ProtuStrankaListNazivFormated>
    <izvorni_sadrzaj>
      <item>OPEKA dioničko društvo za proizvodnju i promet građevinskog materijala</item>
    </izvorni_sadrzaj>
    <derivirana_varijabla naziv="DomainObject.Predmet.ProtuStrankaListNazivFormated_1">
      <item>OPEKA dioničko društvo za proizvodnju i promet građevinskog materijala</item>
    </derivirana_varijabla>
  </DomainObject.Predmet.ProtuStrankaListNazivFormated>
  <DomainObject.Predmet.ProtuStrankaListNazivFormatedOIB>
    <izvorni_sadrzaj>
      <item>OPEKA dioničko društvo za proizvodnju i promet građevinskog materijala, OIB 61547182596</item>
    </izvorni_sadrzaj>
    <derivirana_varijabla naziv="DomainObject.Predmet.ProtuStrankaListNazivFormatedOIB_1">
      <item>OPEKA dioničko društvo za proizvodnju i promet građevinskog materijala, OIB 61547182596</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24. rujna 2019.</izvorni_sadrzaj>
    <derivirana_varijabla naziv="DomainObject.Datum_1">24. rujna 2019.</derivirana_varijabla>
  </DomainObject.Datum>
  <DomainObject.PoslovniBrojDokumenta>
    <izvorni_sadrzaj>Pž-5320/2019-2</izvorni_sadrzaj>
    <derivirana_varijabla naziv="DomainObject.PoslovniBrojDokumenta_1">Pž-5320/2019-2</derivirana_varijabla>
  </DomainObject.PoslovniBrojDokumenta>
  <DomainObject.Predmet.StrankaIDrugi>
    <izvorni_sadrzaj/>
    <derivirana_varijabla naziv="DomainObject.Predmet.StrankaIDrugi_1"/>
  </DomainObject.Predmet.StrankaIDrugi>
  <DomainObject.Predmet.ProtustrankaIDrugi>
    <izvorni_sadrzaj>OPEKA dioničko društvo za proizvodnju i promet građevinskog materijala</izvorni_sadrzaj>
    <derivirana_varijabla naziv="DomainObject.Predmet.ProtustrankaIDrugi_1">OPEKA dioničko društvo za proizvodnju i promet građevinskog materijala</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OPEKA dioničko društvo za proizvodnju i promet građevinskog materijala, OIB 61547182596, Vukovarska 215, 31000 Osijek</izvorni_sadrzaj>
    <derivirana_varijabla naziv="DomainObject.Predmet.ProtustrankaIDrugiAdressOIB_1">OPEKA dioničko društvo za proizvodnju i promet građevinskog materijala, OIB 61547182596, Vukovarska 215,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rujna 2019.</izvorni_sadrzaj>
    <derivirana_varijabla naziv="DomainObject.Predmet.OdlukaRjesenje.DatumDonosenjaOdluke_1">18. rujna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Pž-5320/2019-2</izvorni_sadrzaj>
    <derivirana_varijabla naziv="DomainObject.Predmet.OdlukaRjesenje.Oznaka_1">Pž-5320/2019-2</derivirana_varijabla>
  </DomainObject.Predmet.OdlukaRjesenje.Oznaka>
  <DomainObject.Predmet.SudioniciListNaziv>
    <izvorni_sadrzaj>
      <item>OPEKA dioničko društvo za proizvodnju i promet građevinskog materijala</item>
    </izvorni_sadrzaj>
    <derivirana_varijabla naziv="DomainObject.Predmet.SudioniciListNaziv_1">
      <item>OPEKA dioničko društvo za proizvodnju i promet građevinskog materijala</item>
    </derivirana_varijabla>
    <derivirana_varijabla naziv="OstaliSudionici">
      <item>OPEKA dioničko društvo za proizvodnju i promet građevinskog materijala</item>
    </derivirana_varijabla>
  </DomainObject.Predmet.SudioniciListNaziv>
  <DomainObject.Predmet.SudioniciListAdressOIB>
    <izvorni_sadrzaj>
      <item>OPEKA dioničko društvo za proizvodnju i promet građevinskog materijala, OIB 61547182596, Vukovarska 215,31000 Osijek</item>
    </izvorni_sadrzaj>
    <derivirana_varijabla naziv="DomainObject.Predmet.SudioniciListAdressOIB_1">
      <item>OPEKA dioničko društvo za proizvodnju i promet građevinskog materijala, OIB 61547182596, Vukovarska 215,31000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61547182596</item>
    </izvorni_sadrzaj>
    <derivirana_varijabla naziv="DomainObject.Predmet.SudioniciListNazivOIB_1">
      <item>, OIB 61547182596</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St-1069/2018</izvorni_sadrzaj>
    <derivirana_varijabla naziv="DomainObject.Predmet.OznakaNizestupanjskogPredmeta_1">St-1069/2018</derivirana_varijabla>
  </DomainObject.Predmet.OznakaNizestupanjskogPredmeta>
  <DomainObject.Predmet.NazivNizestupanjskogSuda>
    <izvorni_sadrzaj>Trgovački sud u Osijeku</izvorni_sadrzaj>
    <derivirana_varijabla naziv="DomainObject.Predmet.NazivNizestupanjskogSuda_1">Trgovački sud u Osijeku</derivirana_varijabla>
  </DomainObject.Predmet.NazivNizestupanjskogSuda>
</icms>
</file>

<file path=customXml/item2.xml><?xml version="1.0" encoding="utf-8"?>
<ns30:Sourc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AFA4BA-B343-4D25-9BC4-FD872CF0CCB4}">
  <ds:schemaRefs>
    <ds:schemaRef ds:uri="http://schemas.openxmlformats.org/wordprocessingml/2006/main"/>
    <ds:schemaRef ds:uri="http://schemas.openxmlformats.org/officeDocument/2006/relationships"/>
    <ds:schemaRef ds:uri="http://schemas.microsoft.com/office/word/2010/wordml"/>
    <ds:schemaRef ds:uri="http://schemas.microsoft.com/office/word/2012/wordml"/>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1521</properties:Words>
  <properties:Characters>8752</properties:Characters>
  <properties:Lines>160</properties:Lines>
  <properties:Paragraphs>28</properties:Paragraphs>
  <properties:TotalTime>190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10280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Marija Galić</cp:lastModifiedBy>
  <cp:lastPrinted>2019-09-24T10:34:00Z</cp:lastPrinted>
  <dcterms:modified xmlns:xsi="http://www.w3.org/2001/XMLSchema-instance" xsi:type="dcterms:W3CDTF">2019-10-01T12:11:00Z</dcterms:modified>
  <cp:revision>28</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4</vt:i4>
  </prop:property>
  <prop:property fmtid="{D5CDD505-2E9C-101B-9397-08002B2CF9AE}" pid="5" name="Naslov">
    <vt:lpwstr>Novi podnesak (Rješenje pž 5320_2019_upućivanje_u_parnicu_stečajni_vjerovnik_je_osporavatelj_a_s_upravitelj_priznao.docx)</vt:lpwstr>
  </prop:property>
  <prop:property fmtid="{D5CDD505-2E9C-101B-9397-08002B2CF9AE}" pid="6" name="Predlozak_id">
    <vt:lpwstr>1000000655</vt:lpwstr>
  </prop:property>
  <prop:property fmtid="{D5CDD505-2E9C-101B-9397-08002B2CF9AE}" pid="7" name="Predlozak_oznaka">
    <vt:lpwstr>VTSRH-memorandum2018</vt:lpwstr>
  </prop:property>
  <prop:property fmtid="{D5CDD505-2E9C-101B-9397-08002B2CF9AE}" pid="8" name="Predlozak_naziv">
    <vt:lpwstr>VTSRH - memorandum 2018 s grbom, dopis, presuda, rješenje s poslovnim brojem </vt:lpwstr>
  </prop:property>
</prop:Properties>
</file>